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B8FA" w14:textId="77777777" w:rsidR="004D516C" w:rsidRPr="00406D47" w:rsidRDefault="00480387" w:rsidP="00564CA6">
      <w:pPr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  <w:noProof/>
        </w:rPr>
        <w:drawing>
          <wp:inline distT="0" distB="0" distL="0" distR="0" wp14:anchorId="54C8B5C6" wp14:editId="32F24C2A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53BB2" w14:textId="77777777" w:rsidR="005C7FA1" w:rsidRPr="00406D47" w:rsidRDefault="005C7FA1" w:rsidP="00564CA6">
      <w:pPr>
        <w:rPr>
          <w:rFonts w:ascii="Times New Roman" w:hAnsi="Times New Roman" w:cs="Times New Roman"/>
        </w:rPr>
      </w:pPr>
    </w:p>
    <w:p w14:paraId="50FDC8FA" w14:textId="77777777" w:rsidR="007F1C9D" w:rsidRPr="007F1C9D" w:rsidRDefault="007F1C9D" w:rsidP="007F1C9D">
      <w:pPr>
        <w:jc w:val="right"/>
        <w:rPr>
          <w:rFonts w:ascii="Times New Roman" w:hAnsi="Times New Roman" w:cs="Times New Roman"/>
          <w:noProof/>
        </w:rPr>
      </w:pPr>
      <w:r w:rsidRPr="007F1C9D">
        <w:rPr>
          <w:rFonts w:ascii="Times New Roman" w:hAnsi="Times New Roman" w:cs="Times New Roman"/>
          <w:noProof/>
        </w:rPr>
        <w:t>PROJEKTS uz 14.06.2023.</w:t>
      </w:r>
    </w:p>
    <w:p w14:paraId="331404A6" w14:textId="77777777" w:rsidR="007F1C9D" w:rsidRPr="007F1C9D" w:rsidRDefault="007F1C9D" w:rsidP="007F1C9D">
      <w:pPr>
        <w:jc w:val="right"/>
        <w:rPr>
          <w:rFonts w:ascii="Times New Roman" w:hAnsi="Times New Roman" w:cs="Times New Roman"/>
          <w:noProof/>
        </w:rPr>
      </w:pPr>
    </w:p>
    <w:p w14:paraId="22032860" w14:textId="77777777" w:rsidR="007F1C9D" w:rsidRPr="007F1C9D" w:rsidRDefault="007F1C9D" w:rsidP="007F1C9D">
      <w:pPr>
        <w:jc w:val="right"/>
        <w:rPr>
          <w:rFonts w:ascii="Times New Roman" w:hAnsi="Times New Roman" w:cs="Times New Roman"/>
          <w:noProof/>
        </w:rPr>
      </w:pPr>
      <w:r w:rsidRPr="007F1C9D">
        <w:rPr>
          <w:rFonts w:ascii="Times New Roman" w:hAnsi="Times New Roman" w:cs="Times New Roman"/>
          <w:noProof/>
        </w:rPr>
        <w:t>vēlamais datums izskatīšanai: Attīstības komitejā 14.06.2023.</w:t>
      </w:r>
    </w:p>
    <w:p w14:paraId="6E30BD12" w14:textId="77777777" w:rsidR="007F1C9D" w:rsidRPr="007F1C9D" w:rsidRDefault="007F1C9D" w:rsidP="007F1C9D">
      <w:pPr>
        <w:jc w:val="right"/>
        <w:rPr>
          <w:rFonts w:ascii="Times New Roman" w:hAnsi="Times New Roman" w:cs="Times New Roman"/>
          <w:noProof/>
        </w:rPr>
      </w:pPr>
      <w:r w:rsidRPr="007F1C9D">
        <w:rPr>
          <w:rFonts w:ascii="Times New Roman" w:hAnsi="Times New Roman" w:cs="Times New Roman"/>
          <w:noProof/>
        </w:rPr>
        <w:t>domē: 28.06.2023.</w:t>
      </w:r>
    </w:p>
    <w:p w14:paraId="5ED23F58" w14:textId="77777777" w:rsidR="007F1C9D" w:rsidRPr="007F1C9D" w:rsidRDefault="007F1C9D" w:rsidP="007F1C9D">
      <w:pPr>
        <w:jc w:val="right"/>
        <w:rPr>
          <w:rFonts w:ascii="Times New Roman" w:hAnsi="Times New Roman" w:cs="Times New Roman"/>
          <w:noProof/>
        </w:rPr>
      </w:pPr>
      <w:r w:rsidRPr="007F1C9D">
        <w:rPr>
          <w:rFonts w:ascii="Times New Roman" w:hAnsi="Times New Roman" w:cs="Times New Roman"/>
          <w:noProof/>
        </w:rPr>
        <w:t>sagatavotājs: Miķelis Cinis</w:t>
      </w:r>
    </w:p>
    <w:p w14:paraId="4F6EDD24" w14:textId="42D4EAB6" w:rsidR="00564CA6" w:rsidRPr="00406D47" w:rsidRDefault="007F1C9D" w:rsidP="007F1C9D">
      <w:pPr>
        <w:jc w:val="right"/>
        <w:rPr>
          <w:rFonts w:ascii="Times New Roman" w:hAnsi="Times New Roman" w:cs="Times New Roman"/>
          <w:noProof/>
          <w:color w:val="FF0000"/>
        </w:rPr>
      </w:pPr>
      <w:r w:rsidRPr="007F1C9D">
        <w:rPr>
          <w:rFonts w:ascii="Times New Roman" w:hAnsi="Times New Roman" w:cs="Times New Roman"/>
          <w:noProof/>
        </w:rPr>
        <w:t>ziņotājs: Miķelis Cinis</w:t>
      </w:r>
    </w:p>
    <w:p w14:paraId="6B269E18" w14:textId="77777777" w:rsidR="00564CA6" w:rsidRPr="00406D4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38BEDC3" w14:textId="77777777" w:rsidR="00564CA6" w:rsidRPr="00406D47" w:rsidRDefault="0048038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406D47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6A2D332B" w14:textId="77777777" w:rsidR="00564CA6" w:rsidRPr="00406D47" w:rsidRDefault="00480387" w:rsidP="00564CA6">
      <w:pPr>
        <w:jc w:val="center"/>
        <w:rPr>
          <w:rFonts w:ascii="Times New Roman" w:hAnsi="Times New Roman" w:cs="Times New Roman"/>
          <w:noProof/>
        </w:rPr>
      </w:pPr>
      <w:r w:rsidRPr="00406D47">
        <w:rPr>
          <w:rFonts w:ascii="Times New Roman" w:hAnsi="Times New Roman" w:cs="Times New Roman"/>
          <w:noProof/>
        </w:rPr>
        <w:t>Ādažos, Ādažu novadā</w:t>
      </w:r>
    </w:p>
    <w:p w14:paraId="6310F6F3" w14:textId="77777777" w:rsidR="00564CA6" w:rsidRPr="00406D47" w:rsidRDefault="00480387" w:rsidP="00564CA6">
      <w:pPr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</w:p>
    <w:p w14:paraId="1CDEAB8F" w14:textId="0E310F75" w:rsidR="00564CA6" w:rsidRPr="00406D47" w:rsidRDefault="007F1C9D" w:rsidP="00564CA6">
      <w:pPr>
        <w:rPr>
          <w:rFonts w:ascii="Times New Roman" w:hAnsi="Times New Roman" w:cs="Times New Roman"/>
        </w:rPr>
      </w:pPr>
      <w:r w:rsidRPr="007F1C9D">
        <w:rPr>
          <w:rFonts w:ascii="Times New Roman" w:hAnsi="Times New Roman" w:cs="Times New Roman"/>
        </w:rPr>
        <w:t>2023.gada 28.jūnijā</w:t>
      </w:r>
      <w:r w:rsidR="00480387" w:rsidRPr="00406D47">
        <w:rPr>
          <w:rFonts w:ascii="Times New Roman" w:hAnsi="Times New Roman" w:cs="Times New Roman"/>
        </w:rPr>
        <w:tab/>
      </w:r>
      <w:r w:rsidR="00480387" w:rsidRPr="00406D47">
        <w:rPr>
          <w:rFonts w:ascii="Times New Roman" w:hAnsi="Times New Roman" w:cs="Times New Roman"/>
        </w:rPr>
        <w:tab/>
      </w:r>
      <w:r w:rsidR="00480387" w:rsidRPr="00406D47">
        <w:rPr>
          <w:rFonts w:ascii="Times New Roman" w:hAnsi="Times New Roman" w:cs="Times New Roman"/>
        </w:rPr>
        <w:tab/>
      </w:r>
      <w:r w:rsidR="00480387" w:rsidRPr="00406D47">
        <w:rPr>
          <w:rFonts w:ascii="Times New Roman" w:hAnsi="Times New Roman" w:cs="Times New Roman"/>
        </w:rPr>
        <w:tab/>
      </w:r>
      <w:r w:rsidR="00480387" w:rsidRPr="00406D47">
        <w:rPr>
          <w:rFonts w:ascii="Times New Roman" w:hAnsi="Times New Roman" w:cs="Times New Roman"/>
        </w:rPr>
        <w:tab/>
      </w:r>
      <w:proofErr w:type="spellStart"/>
      <w:r w:rsidR="00480387" w:rsidRPr="00406D47">
        <w:rPr>
          <w:rFonts w:ascii="Times New Roman" w:hAnsi="Times New Roman" w:cs="Times New Roman"/>
          <w:b/>
        </w:rPr>
        <w:t>Nr</w:t>
      </w:r>
      <w:proofErr w:type="spellEnd"/>
      <w:r w:rsidR="00480387" w:rsidRPr="00406D47">
        <w:rPr>
          <w:rFonts w:ascii="Times New Roman" w:hAnsi="Times New Roman" w:cs="Times New Roman"/>
          <w:b/>
        </w:rPr>
        <w:t>.</w:t>
      </w:r>
      <w:r w:rsidR="00480387" w:rsidRPr="00406D47">
        <w:rPr>
          <w:rFonts w:ascii="Times New Roman" w:hAnsi="Times New Roman" w:cs="Times New Roman"/>
          <w:noProof/>
        </w:rPr>
        <w:fldChar w:fldCharType="begin"/>
      </w:r>
      <w:r w:rsidR="00480387" w:rsidRPr="00406D47">
        <w:rPr>
          <w:rFonts w:ascii="Times New Roman" w:hAnsi="Times New Roman" w:cs="Times New Roman"/>
          <w:noProof/>
        </w:rPr>
        <w:instrText>MERGEFIELD DOKREGNUMURS</w:instrText>
      </w:r>
      <w:r w:rsidR="00480387" w:rsidRPr="00406D47">
        <w:rPr>
          <w:rFonts w:ascii="Times New Roman" w:hAnsi="Times New Roman" w:cs="Times New Roman"/>
          <w:noProof/>
        </w:rPr>
        <w:fldChar w:fldCharType="separate"/>
      </w:r>
      <w:r w:rsidR="00480387" w:rsidRPr="00406D47">
        <w:rPr>
          <w:rFonts w:ascii="Times New Roman" w:hAnsi="Times New Roman" w:cs="Times New Roman"/>
          <w:noProof/>
        </w:rPr>
        <w:t>«DOKREGNUMURS»</w:t>
      </w:r>
      <w:r w:rsidR="00480387" w:rsidRPr="00406D47">
        <w:rPr>
          <w:rFonts w:ascii="Times New Roman" w:hAnsi="Times New Roman" w:cs="Times New Roman"/>
          <w:noProof/>
        </w:rPr>
        <w:fldChar w:fldCharType="end"/>
      </w:r>
      <w:r w:rsidR="00480387" w:rsidRPr="00406D47">
        <w:rPr>
          <w:rFonts w:ascii="Times New Roman" w:hAnsi="Times New Roman" w:cs="Times New Roman"/>
        </w:rPr>
        <w:tab/>
      </w:r>
    </w:p>
    <w:p w14:paraId="25685A47" w14:textId="77777777" w:rsidR="00564CA6" w:rsidRPr="00406D47" w:rsidRDefault="00564CA6" w:rsidP="00564CA6">
      <w:pPr>
        <w:rPr>
          <w:rFonts w:ascii="Times New Roman" w:hAnsi="Times New Roman" w:cs="Times New Roman"/>
          <w:b/>
        </w:rPr>
      </w:pPr>
    </w:p>
    <w:p w14:paraId="2F5C1AA7" w14:textId="77777777" w:rsidR="00564CA6" w:rsidRPr="00406D47" w:rsidRDefault="00564CA6" w:rsidP="00564CA6">
      <w:pPr>
        <w:rPr>
          <w:rFonts w:ascii="Times New Roman" w:hAnsi="Times New Roman" w:cs="Times New Roman"/>
        </w:rPr>
      </w:pPr>
    </w:p>
    <w:p w14:paraId="7B774FBB" w14:textId="77777777" w:rsidR="00406D47" w:rsidRPr="00406D47" w:rsidRDefault="00406D47" w:rsidP="00406D47">
      <w:pPr>
        <w:jc w:val="center"/>
        <w:rPr>
          <w:rFonts w:ascii="Times New Roman" w:hAnsi="Times New Roman" w:cs="Times New Roman"/>
          <w:b/>
        </w:rPr>
      </w:pPr>
      <w:r w:rsidRPr="00406D47">
        <w:rPr>
          <w:rFonts w:ascii="Times New Roman" w:hAnsi="Times New Roman" w:cs="Times New Roman"/>
          <w:b/>
        </w:rPr>
        <w:t>Par zemes ierīcības projekta uzsākšanu Draudzības ielā 20, Ādažos</w:t>
      </w:r>
    </w:p>
    <w:p w14:paraId="2B3ABBAF" w14:textId="77777777" w:rsidR="00406D47" w:rsidRPr="00406D47" w:rsidRDefault="00406D47" w:rsidP="00406D47">
      <w:pPr>
        <w:rPr>
          <w:rFonts w:ascii="Times New Roman" w:hAnsi="Times New Roman" w:cs="Times New Roman"/>
          <w:b/>
          <w:i/>
          <w:color w:val="FF0000"/>
        </w:rPr>
      </w:pPr>
    </w:p>
    <w:p w14:paraId="073F0111" w14:textId="29DE65E2" w:rsidR="00406D47" w:rsidRDefault="00406D47" w:rsidP="00406D47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</w:rPr>
        <w:t xml:space="preserve">Ādažu novada domē 26.04.2023. tika saņemts </w:t>
      </w:r>
      <w:r w:rsidR="0013440A">
        <w:rPr>
          <w:rFonts w:ascii="Times New Roman" w:hAnsi="Times New Roman" w:cs="Times New Roman"/>
        </w:rPr>
        <w:t>privātpersonas</w:t>
      </w:r>
      <w:r w:rsidRPr="00406D47">
        <w:rPr>
          <w:rFonts w:ascii="Times New Roman" w:hAnsi="Times New Roman" w:cs="Times New Roman"/>
        </w:rPr>
        <w:t xml:space="preserve"> iesniegums (reģ.nr.: ĀNP/1-11-1/23/2383) ar lūgumu pieņemt lēmumu un izdot darba uzdevumu zemes ierīcības projekta uzsākšanai zemes gabalam Draudzības ielā 20, Ādažos, Ādažu nov., ar kadastra </w:t>
      </w:r>
      <w:proofErr w:type="spellStart"/>
      <w:r w:rsidRPr="00406D47">
        <w:rPr>
          <w:rFonts w:ascii="Times New Roman" w:hAnsi="Times New Roman" w:cs="Times New Roman"/>
        </w:rPr>
        <w:t>apz</w:t>
      </w:r>
      <w:proofErr w:type="spellEnd"/>
      <w:r w:rsidRPr="00406D47">
        <w:rPr>
          <w:rFonts w:ascii="Times New Roman" w:hAnsi="Times New Roman" w:cs="Times New Roman"/>
        </w:rPr>
        <w:t xml:space="preserve">. 8044 010 0010. </w:t>
      </w:r>
    </w:p>
    <w:p w14:paraId="1718B083" w14:textId="77777777" w:rsidR="00480387" w:rsidRPr="00406D47" w:rsidRDefault="00480387" w:rsidP="00406D47">
      <w:pPr>
        <w:jc w:val="both"/>
        <w:rPr>
          <w:rFonts w:ascii="Times New Roman" w:hAnsi="Times New Roman" w:cs="Times New Roman"/>
        </w:rPr>
      </w:pPr>
    </w:p>
    <w:p w14:paraId="29384212" w14:textId="77777777" w:rsidR="00406D47" w:rsidRPr="00406D47" w:rsidRDefault="00406D47" w:rsidP="00406D47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406D47">
        <w:rPr>
          <w:rFonts w:ascii="Times New Roman" w:hAnsi="Times New Roman"/>
          <w:sz w:val="24"/>
        </w:rPr>
        <w:t>:</w:t>
      </w:r>
    </w:p>
    <w:p w14:paraId="6E4B7405" w14:textId="77777777" w:rsidR="00406D47" w:rsidRPr="00406D47" w:rsidRDefault="00406D47" w:rsidP="00406D47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 xml:space="preserve">ierosinātajai </w:t>
      </w:r>
      <w:r w:rsidRPr="00406D47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406D47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14:paraId="5FAEC898" w14:textId="77777777" w:rsidR="00406D47" w:rsidRPr="00406D47" w:rsidRDefault="00406D47" w:rsidP="00406D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406D47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406D47">
        <w:rPr>
          <w:rFonts w:ascii="Times New Roman" w:hAnsi="Times New Roman"/>
          <w:sz w:val="24"/>
          <w:szCs w:val="24"/>
        </w:rPr>
        <w:t>pašums</w:t>
      </w:r>
      <w:proofErr w:type="spellEnd"/>
      <w:r w:rsidRPr="00406D47">
        <w:rPr>
          <w:rFonts w:ascii="Times New Roman" w:hAnsi="Times New Roman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2"/>
        </w:rPr>
        <w:t xml:space="preserve">atrodas </w:t>
      </w:r>
      <w:r w:rsidRPr="00406D47">
        <w:rPr>
          <w:rFonts w:ascii="Times New Roman" w:hAnsi="Times New Roman"/>
          <w:sz w:val="24"/>
          <w:szCs w:val="22"/>
          <w:lang w:val="lv-LV"/>
        </w:rPr>
        <w:t>Savrupmāju apbūves teritorijā (</w:t>
      </w:r>
      <w:proofErr w:type="spellStart"/>
      <w:r w:rsidRPr="00406D47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406D47">
        <w:rPr>
          <w:rFonts w:ascii="Times New Roman" w:hAnsi="Times New Roman"/>
          <w:sz w:val="24"/>
          <w:szCs w:val="22"/>
          <w:lang w:val="lv-LV"/>
        </w:rPr>
        <w:t>),un Transporta infrastruktūras teritorijā (TR).</w:t>
      </w:r>
    </w:p>
    <w:p w14:paraId="4F5254E5" w14:textId="77777777" w:rsidR="00406D47" w:rsidRPr="00406D47" w:rsidRDefault="00406D47" w:rsidP="00406D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Saskaņā ar zemesgrāmatu, īpašumam ir aizliegums bez AS “SEB Banka” rakstiskas piekrišanas nekustamo īpašumu atsavināt, apgrūtināt ar lietu tiesībām (sadalīt, mainīt, dāvināt, </w:t>
      </w:r>
      <w:proofErr w:type="spellStart"/>
      <w:r w:rsidRPr="00406D47">
        <w:rPr>
          <w:rFonts w:ascii="Times New Roman" w:hAnsi="Times New Roman"/>
          <w:sz w:val="24"/>
          <w:szCs w:val="24"/>
          <w:lang w:val="lv-LV"/>
        </w:rPr>
        <w:t>ieķīlat</w:t>
      </w:r>
      <w:proofErr w:type="spellEnd"/>
      <w:r w:rsidRPr="00406D47">
        <w:rPr>
          <w:rFonts w:ascii="Times New Roman" w:hAnsi="Times New Roman"/>
          <w:sz w:val="24"/>
          <w:szCs w:val="24"/>
          <w:lang w:val="lv-LV"/>
        </w:rPr>
        <w:t>, izīrēt, iznomāt, nodot patapinājumā, atsavināt domājamo daļu) un grozīt nekustamā īpašuma lietošanas kārtību, ja tāda noteikta.</w:t>
      </w:r>
    </w:p>
    <w:p w14:paraId="248FC1B1" w14:textId="77777777" w:rsidR="00406D47" w:rsidRPr="00406D47" w:rsidRDefault="00406D47" w:rsidP="00406D47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3A065760" w14:textId="77777777" w:rsidR="00406D47" w:rsidRPr="00406D47" w:rsidRDefault="00406D47" w:rsidP="00406D47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2052E0EF" w14:textId="77777777" w:rsidR="00406D47" w:rsidRPr="00406D47" w:rsidRDefault="00406D47" w:rsidP="00406D47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268BE93F" w14:textId="77777777" w:rsidR="00406D47" w:rsidRPr="00406D47" w:rsidRDefault="00406D47" w:rsidP="00406D47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607FE71B" w14:textId="7E999772" w:rsidR="00406D47" w:rsidRPr="00406D47" w:rsidRDefault="00406D47" w:rsidP="00406D47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7F1C9D">
        <w:rPr>
          <w:rFonts w:ascii="Times New Roman" w:hAnsi="Times New Roman"/>
          <w:sz w:val="24"/>
          <w:szCs w:val="24"/>
          <w:lang w:val="lv-LV"/>
        </w:rPr>
        <w:t>14.06</w:t>
      </w:r>
      <w:r w:rsidRPr="00406D47">
        <w:rPr>
          <w:rFonts w:ascii="Times New Roman" w:hAnsi="Times New Roman"/>
          <w:sz w:val="24"/>
          <w:szCs w:val="24"/>
          <w:lang w:val="lv-LV"/>
        </w:rPr>
        <w:t>.2023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25D1F31E" w14:textId="1D65B7EF" w:rsidR="00406D47" w:rsidRPr="00406D47" w:rsidRDefault="00406D47" w:rsidP="00406D47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</w:rPr>
        <w:t xml:space="preserve">Ādažu novada </w:t>
      </w:r>
      <w:r w:rsidR="007F1C9D">
        <w:rPr>
          <w:rFonts w:ascii="Times New Roman" w:hAnsi="Times New Roman" w:cs="Times New Roman"/>
        </w:rPr>
        <w:t xml:space="preserve">pašvaldības </w:t>
      </w:r>
      <w:r w:rsidRPr="00406D47">
        <w:rPr>
          <w:rFonts w:ascii="Times New Roman" w:hAnsi="Times New Roman" w:cs="Times New Roman"/>
        </w:rPr>
        <w:t>dome</w:t>
      </w:r>
    </w:p>
    <w:p w14:paraId="0268867E" w14:textId="77777777" w:rsidR="00406D47" w:rsidRPr="00406D47" w:rsidRDefault="00406D47" w:rsidP="00406D47">
      <w:pPr>
        <w:jc w:val="both"/>
        <w:rPr>
          <w:rFonts w:ascii="Times New Roman" w:hAnsi="Times New Roman" w:cs="Times New Roman"/>
          <w:b/>
        </w:rPr>
      </w:pPr>
      <w:r w:rsidRPr="00406D47">
        <w:rPr>
          <w:rFonts w:ascii="Times New Roman" w:hAnsi="Times New Roman" w:cs="Times New Roman"/>
          <w:b/>
        </w:rPr>
        <w:lastRenderedPageBreak/>
        <w:t>NOLEMJ:</w:t>
      </w:r>
    </w:p>
    <w:p w14:paraId="7EFC32E9" w14:textId="77777777" w:rsidR="00406D47" w:rsidRPr="00406D47" w:rsidRDefault="00406D47" w:rsidP="00406D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Pr="00406D47">
        <w:rPr>
          <w:rFonts w:ascii="Times New Roman" w:hAnsi="Times New Roman"/>
          <w:sz w:val="24"/>
          <w:szCs w:val="24"/>
        </w:rPr>
        <w:t>nekustam</w:t>
      </w:r>
      <w:r w:rsidRPr="00406D47">
        <w:rPr>
          <w:rFonts w:ascii="Times New Roman" w:hAnsi="Times New Roman"/>
          <w:sz w:val="24"/>
          <w:szCs w:val="24"/>
          <w:lang w:val="lv-LV"/>
        </w:rPr>
        <w:t>ā</w:t>
      </w:r>
      <w:r w:rsidRPr="00406D47">
        <w:rPr>
          <w:rFonts w:ascii="Times New Roman" w:hAnsi="Times New Roman"/>
          <w:sz w:val="24"/>
          <w:szCs w:val="24"/>
        </w:rPr>
        <w:t xml:space="preserve"> īpašuma 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Draudzības ielā 20, Ādažos, Ādažu nov. </w:t>
      </w:r>
      <w:r w:rsidRPr="00406D47">
        <w:rPr>
          <w:rFonts w:ascii="Times New Roman" w:hAnsi="Times New Roman"/>
          <w:sz w:val="24"/>
          <w:szCs w:val="24"/>
        </w:rPr>
        <w:t xml:space="preserve">zemes 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vienībai ar kadastra apzīmējumu 8044 010 0010, </w:t>
      </w:r>
      <w:r w:rsidRPr="00406D47">
        <w:rPr>
          <w:rFonts w:ascii="Times New Roman" w:hAnsi="Times New Roman"/>
          <w:sz w:val="24"/>
          <w:szCs w:val="24"/>
        </w:rPr>
        <w:t>ar mērķi pamatot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zemes vienības sadalīšanu.</w:t>
      </w:r>
    </w:p>
    <w:p w14:paraId="2C3A1C1E" w14:textId="0CA55EE4" w:rsidR="00406D47" w:rsidRPr="007F1C9D" w:rsidRDefault="00406D47" w:rsidP="00406D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18162194" w14:textId="77777777" w:rsidR="007F1C9D" w:rsidRPr="00060725" w:rsidRDefault="007F1C9D" w:rsidP="007F1C9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2412DED8" w14:textId="77777777" w:rsidR="007F1C9D" w:rsidRPr="00060725" w:rsidRDefault="007F1C9D" w:rsidP="007F1C9D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3F361025" w14:textId="77777777" w:rsidR="007F1C9D" w:rsidRPr="00406D47" w:rsidRDefault="007F1C9D" w:rsidP="007F1C9D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4C558509" w14:textId="77777777" w:rsidR="00406D47" w:rsidRPr="00406D47" w:rsidRDefault="00406D47" w:rsidP="00406D47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07DD97D2" w14:textId="77777777" w:rsidR="00406D47" w:rsidRPr="00406D47" w:rsidRDefault="00406D47" w:rsidP="00406D4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5B15F5D4" w14:textId="77777777" w:rsidR="00406D47" w:rsidRPr="00406D47" w:rsidRDefault="00406D47" w:rsidP="00406D4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Zemesgabala sadalīšanas informatīva skice.</w:t>
      </w:r>
    </w:p>
    <w:p w14:paraId="7484BC1A" w14:textId="77777777" w:rsidR="00564CA6" w:rsidRPr="00406D47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31157A" w14:textId="77777777" w:rsidR="00564CA6" w:rsidRPr="00406D47" w:rsidRDefault="00564CA6" w:rsidP="00564CA6">
      <w:pPr>
        <w:jc w:val="both"/>
        <w:rPr>
          <w:rFonts w:ascii="Times New Roman" w:hAnsi="Times New Roman" w:cs="Times New Roman"/>
        </w:rPr>
      </w:pPr>
    </w:p>
    <w:p w14:paraId="2D11AFAE" w14:textId="77777777" w:rsidR="00564CA6" w:rsidRPr="00406D47" w:rsidRDefault="00480387" w:rsidP="00564CA6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  <w:noProof/>
        </w:rPr>
        <w:t>Pašvaldības domes priekšsēdētāj</w:t>
      </w:r>
      <w:r w:rsidR="00FA29A3" w:rsidRPr="00406D47">
        <w:rPr>
          <w:rFonts w:ascii="Times New Roman" w:hAnsi="Times New Roman" w:cs="Times New Roman"/>
          <w:noProof/>
        </w:rPr>
        <w:t>a</w:t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Pr="00406D47">
        <w:rPr>
          <w:rFonts w:ascii="Times New Roman" w:hAnsi="Times New Roman" w:cs="Times New Roman"/>
          <w:noProof/>
        </w:rPr>
        <w:tab/>
      </w:r>
      <w:r w:rsidR="00FA29A3" w:rsidRPr="00406D47">
        <w:rPr>
          <w:rFonts w:ascii="Times New Roman" w:hAnsi="Times New Roman" w:cs="Times New Roman"/>
          <w:noProof/>
        </w:rPr>
        <w:t>K. Miķelsone</w:t>
      </w:r>
      <w:r w:rsidRPr="00406D47">
        <w:rPr>
          <w:rFonts w:ascii="Times New Roman" w:hAnsi="Times New Roman" w:cs="Times New Roman"/>
          <w:noProof/>
        </w:rPr>
        <w:t xml:space="preserve"> </w:t>
      </w:r>
    </w:p>
    <w:p w14:paraId="1A8D6F32" w14:textId="77777777" w:rsidR="00564CA6" w:rsidRPr="00406D47" w:rsidRDefault="00480387" w:rsidP="00564CA6">
      <w:pPr>
        <w:jc w:val="both"/>
        <w:rPr>
          <w:rFonts w:ascii="Times New Roman" w:hAnsi="Times New Roman" w:cs="Times New Roman"/>
        </w:rPr>
      </w:pPr>
      <w:r w:rsidRPr="00406D47">
        <w:rPr>
          <w:rFonts w:ascii="Times New Roman" w:hAnsi="Times New Roman" w:cs="Times New Roman"/>
        </w:rPr>
        <w:t>__________________________</w:t>
      </w:r>
    </w:p>
    <w:p w14:paraId="3EEF817E" w14:textId="77777777" w:rsidR="00555A58" w:rsidRPr="00555A58" w:rsidRDefault="00555A58" w:rsidP="00555A58">
      <w:pPr>
        <w:rPr>
          <w:rFonts w:ascii="Times New Roman" w:hAnsi="Times New Roman" w:cs="Times New Roman"/>
        </w:rPr>
      </w:pPr>
      <w:r w:rsidRPr="00555A58">
        <w:rPr>
          <w:rFonts w:ascii="Times New Roman" w:hAnsi="Times New Roman" w:cs="Times New Roman"/>
        </w:rPr>
        <w:t>Izsniegt norakstus:</w:t>
      </w:r>
    </w:p>
    <w:p w14:paraId="05479EB0" w14:textId="77777777" w:rsidR="00555A58" w:rsidRPr="00555A58" w:rsidRDefault="00555A58" w:rsidP="00555A58">
      <w:pPr>
        <w:rPr>
          <w:rFonts w:ascii="Times New Roman" w:hAnsi="Times New Roman" w:cs="Times New Roman"/>
        </w:rPr>
      </w:pPr>
      <w:r w:rsidRPr="00555A58">
        <w:rPr>
          <w:rFonts w:ascii="Times New Roman" w:hAnsi="Times New Roman" w:cs="Times New Roman"/>
        </w:rPr>
        <w:t>TPN: @</w:t>
      </w:r>
    </w:p>
    <w:p w14:paraId="279F663C" w14:textId="77777777" w:rsidR="00555A58" w:rsidRPr="00555A58" w:rsidRDefault="00555A58" w:rsidP="00555A58">
      <w:pPr>
        <w:rPr>
          <w:rFonts w:ascii="Times New Roman" w:hAnsi="Times New Roman" w:cs="Times New Roman"/>
        </w:rPr>
      </w:pPr>
      <w:proofErr w:type="spellStart"/>
      <w:r w:rsidRPr="00555A58">
        <w:rPr>
          <w:rFonts w:ascii="Times New Roman" w:hAnsi="Times New Roman" w:cs="Times New Roman"/>
        </w:rPr>
        <w:t>Iesn</w:t>
      </w:r>
      <w:proofErr w:type="spellEnd"/>
      <w:r w:rsidRPr="00555A58">
        <w:rPr>
          <w:rFonts w:ascii="Times New Roman" w:hAnsi="Times New Roman" w:cs="Times New Roman"/>
        </w:rPr>
        <w:t>.: @</w:t>
      </w:r>
    </w:p>
    <w:p w14:paraId="2921CA4A" w14:textId="77777777" w:rsidR="00555A58" w:rsidRPr="00555A58" w:rsidRDefault="00555A58" w:rsidP="00555A58">
      <w:pPr>
        <w:rPr>
          <w:rFonts w:ascii="Times New Roman" w:hAnsi="Times New Roman" w:cs="Times New Roman"/>
        </w:rPr>
      </w:pPr>
    </w:p>
    <w:p w14:paraId="105A3F18" w14:textId="77777777" w:rsidR="00555A58" w:rsidRPr="00555A58" w:rsidRDefault="00555A58" w:rsidP="00555A58">
      <w:pPr>
        <w:rPr>
          <w:rFonts w:ascii="Times New Roman" w:hAnsi="Times New Roman" w:cs="Times New Roman"/>
        </w:rPr>
      </w:pPr>
      <w:proofErr w:type="spellStart"/>
      <w:r w:rsidRPr="00555A58">
        <w:rPr>
          <w:rFonts w:ascii="Times New Roman" w:hAnsi="Times New Roman" w:cs="Times New Roman"/>
        </w:rPr>
        <w:t>M.Cinis</w:t>
      </w:r>
      <w:proofErr w:type="spellEnd"/>
      <w:r w:rsidRPr="00555A58">
        <w:rPr>
          <w:rFonts w:ascii="Times New Roman" w:hAnsi="Times New Roman" w:cs="Times New Roman"/>
        </w:rPr>
        <w:t xml:space="preserve"> 67398063</w:t>
      </w:r>
    </w:p>
    <w:p w14:paraId="713336C2" w14:textId="77777777" w:rsidR="00564CA6" w:rsidRPr="00406D47" w:rsidRDefault="00564CA6" w:rsidP="00564CA6">
      <w:pPr>
        <w:rPr>
          <w:rFonts w:ascii="Times New Roman" w:hAnsi="Times New Roman" w:cs="Times New Roman"/>
        </w:rPr>
      </w:pPr>
    </w:p>
    <w:sectPr w:rsidR="00564CA6" w:rsidRPr="00406D47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5051" w14:textId="77777777" w:rsidR="00535A23" w:rsidRDefault="00535A23">
      <w:r>
        <w:separator/>
      </w:r>
    </w:p>
  </w:endnote>
  <w:endnote w:type="continuationSeparator" w:id="0">
    <w:p w14:paraId="46B9ADED" w14:textId="77777777" w:rsidR="00535A23" w:rsidRDefault="0053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843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B3F130A" w14:textId="77777777" w:rsidR="005C7FA1" w:rsidRPr="005C7FA1" w:rsidRDefault="0048038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DCA1EF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928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9A1ADD8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61BCB" w14:textId="77777777" w:rsidR="00535A23" w:rsidRDefault="00535A23">
      <w:r>
        <w:separator/>
      </w:r>
    </w:p>
  </w:footnote>
  <w:footnote w:type="continuationSeparator" w:id="0">
    <w:p w14:paraId="251D901C" w14:textId="77777777" w:rsidR="00535A23" w:rsidRDefault="0053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EC6F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9BC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803858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F4F460" w:tentative="1">
      <w:start w:val="1"/>
      <w:numFmt w:val="lowerLetter"/>
      <w:lvlText w:val="%2."/>
      <w:lvlJc w:val="left"/>
      <w:pPr>
        <w:ind w:left="1440" w:hanging="360"/>
      </w:pPr>
    </w:lvl>
    <w:lvl w:ilvl="2" w:tplc="923C8914" w:tentative="1">
      <w:start w:val="1"/>
      <w:numFmt w:val="lowerRoman"/>
      <w:lvlText w:val="%3."/>
      <w:lvlJc w:val="right"/>
      <w:pPr>
        <w:ind w:left="2160" w:hanging="180"/>
      </w:pPr>
    </w:lvl>
    <w:lvl w:ilvl="3" w:tplc="47D4F578" w:tentative="1">
      <w:start w:val="1"/>
      <w:numFmt w:val="decimal"/>
      <w:lvlText w:val="%4."/>
      <w:lvlJc w:val="left"/>
      <w:pPr>
        <w:ind w:left="2880" w:hanging="360"/>
      </w:pPr>
    </w:lvl>
    <w:lvl w:ilvl="4" w:tplc="C6AE72DC" w:tentative="1">
      <w:start w:val="1"/>
      <w:numFmt w:val="lowerLetter"/>
      <w:lvlText w:val="%5."/>
      <w:lvlJc w:val="left"/>
      <w:pPr>
        <w:ind w:left="3600" w:hanging="360"/>
      </w:pPr>
    </w:lvl>
    <w:lvl w:ilvl="5" w:tplc="D8D8625C" w:tentative="1">
      <w:start w:val="1"/>
      <w:numFmt w:val="lowerRoman"/>
      <w:lvlText w:val="%6."/>
      <w:lvlJc w:val="right"/>
      <w:pPr>
        <w:ind w:left="4320" w:hanging="180"/>
      </w:pPr>
    </w:lvl>
    <w:lvl w:ilvl="6" w:tplc="F77AB3C8" w:tentative="1">
      <w:start w:val="1"/>
      <w:numFmt w:val="decimal"/>
      <w:lvlText w:val="%7."/>
      <w:lvlJc w:val="left"/>
      <w:pPr>
        <w:ind w:left="5040" w:hanging="360"/>
      </w:pPr>
    </w:lvl>
    <w:lvl w:ilvl="7" w:tplc="7268891A" w:tentative="1">
      <w:start w:val="1"/>
      <w:numFmt w:val="lowerLetter"/>
      <w:lvlText w:val="%8."/>
      <w:lvlJc w:val="left"/>
      <w:pPr>
        <w:ind w:left="5760" w:hanging="360"/>
      </w:pPr>
    </w:lvl>
    <w:lvl w:ilvl="8" w:tplc="4746D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89613669">
    <w:abstractNumId w:val="4"/>
  </w:num>
  <w:num w:numId="2" w16cid:durableId="713702124">
    <w:abstractNumId w:val="1"/>
  </w:num>
  <w:num w:numId="3" w16cid:durableId="2133479255">
    <w:abstractNumId w:val="2"/>
  </w:num>
  <w:num w:numId="4" w16cid:durableId="2096633297">
    <w:abstractNumId w:val="3"/>
  </w:num>
  <w:num w:numId="5" w16cid:durableId="759566699">
    <w:abstractNumId w:val="0"/>
  </w:num>
  <w:num w:numId="6" w16cid:durableId="2002076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731F"/>
    <w:rsid w:val="0013440A"/>
    <w:rsid w:val="0025391B"/>
    <w:rsid w:val="00297558"/>
    <w:rsid w:val="00351D48"/>
    <w:rsid w:val="003D7B67"/>
    <w:rsid w:val="00406D47"/>
    <w:rsid w:val="00480387"/>
    <w:rsid w:val="004D516C"/>
    <w:rsid w:val="0053073B"/>
    <w:rsid w:val="00535A23"/>
    <w:rsid w:val="00543508"/>
    <w:rsid w:val="00555A58"/>
    <w:rsid w:val="00564CA6"/>
    <w:rsid w:val="005C7FA1"/>
    <w:rsid w:val="00617AAC"/>
    <w:rsid w:val="00693F05"/>
    <w:rsid w:val="006D3451"/>
    <w:rsid w:val="0074092B"/>
    <w:rsid w:val="007F1C9D"/>
    <w:rsid w:val="00867A88"/>
    <w:rsid w:val="009139A1"/>
    <w:rsid w:val="00996740"/>
    <w:rsid w:val="00B36CD4"/>
    <w:rsid w:val="00C566CA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509F3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406D4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406D47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1757</Words>
  <Characters>1002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2023-06-16T07:31:00Z</dcterms:created>
  <dcterms:modified xsi:type="dcterms:W3CDTF">2023-06-16T07:31:00Z</dcterms:modified>
</cp:coreProperties>
</file>