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heme="minorHAnsi" w:hAnsi="Arial" w:cs="Arial"/>
          <w:sz w:val="20"/>
          <w:szCs w:val="20"/>
          <w:lang w:val="lv-LV"/>
        </w:rPr>
        <w:id w:val="1818629133"/>
        <w:placeholder>
          <w:docPart w:val="6E25949B20554B21BFEE51B629277C73"/>
        </w:placeholder>
      </w:sdtPr>
      <w:sdtEndPr/>
      <w:sdtContent>
        <w:p w14:paraId="35347DFB" w14:textId="77777777" w:rsidR="00E54256" w:rsidRDefault="00BF405B" w:rsidP="00E54256">
          <w:pPr>
            <w:pStyle w:val="NoSpacing"/>
            <w:rPr>
              <w:rFonts w:ascii="Times New Roman" w:hAnsi="Times New Roman"/>
              <w:sz w:val="24"/>
              <w:szCs w:val="24"/>
              <w:lang w:val="lv-LV"/>
            </w:rPr>
          </w:pPr>
          <w:r>
            <w:rPr>
              <w:noProof/>
              <w:lang w:val="lv-LV" w:eastAsia="lv-LV"/>
            </w:rPr>
            <w:drawing>
              <wp:anchor distT="0" distB="0" distL="114300" distR="114300" simplePos="0" relativeHeight="251658240" behindDoc="1" locked="0" layoutInCell="1" allowOverlap="1">
                <wp:simplePos x="0" y="0"/>
                <wp:positionH relativeFrom="margin">
                  <wp:posOffset>2645924</wp:posOffset>
                </wp:positionH>
                <wp:positionV relativeFrom="paragraph">
                  <wp:posOffset>144</wp:posOffset>
                </wp:positionV>
                <wp:extent cx="439104" cy="664372"/>
                <wp:effectExtent l="0" t="0" r="0" b="2540"/>
                <wp:wrapThrough wrapText="bothSides">
                  <wp:wrapPolygon edited="0">
                    <wp:start x="0" y="0"/>
                    <wp:lineTo x="0" y="21063"/>
                    <wp:lineTo x="20631" y="21063"/>
                    <wp:lineTo x="20631" y="0"/>
                    <wp:lineTo x="0" y="0"/>
                  </wp:wrapPolygon>
                </wp:wrapThrough>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441621" cy="66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D1E26C" w14:textId="77777777" w:rsidR="00E54256" w:rsidRDefault="00E54256" w:rsidP="00E54256">
          <w:pPr>
            <w:pStyle w:val="NoSpacing"/>
            <w:rPr>
              <w:rFonts w:ascii="Times New Roman" w:hAnsi="Times New Roman"/>
              <w:sz w:val="24"/>
              <w:szCs w:val="24"/>
              <w:lang w:val="lv-LV"/>
            </w:rPr>
          </w:pPr>
        </w:p>
        <w:p w14:paraId="43E813B7" w14:textId="77777777" w:rsidR="00E54256" w:rsidRDefault="00E54256" w:rsidP="00E54256">
          <w:pPr>
            <w:pStyle w:val="NoSpacing"/>
            <w:rPr>
              <w:rFonts w:ascii="Times New Roman" w:hAnsi="Times New Roman"/>
              <w:sz w:val="24"/>
              <w:szCs w:val="24"/>
              <w:lang w:val="lv-LV"/>
            </w:rPr>
          </w:pPr>
        </w:p>
        <w:p w14:paraId="39491C16" w14:textId="77777777" w:rsidR="00E54256" w:rsidRPr="00373E6B" w:rsidRDefault="00E54256" w:rsidP="00E54256">
          <w:pPr>
            <w:pStyle w:val="NoSpacing"/>
            <w:rPr>
              <w:rFonts w:ascii="Times New Roman" w:hAnsi="Times New Roman"/>
              <w:sz w:val="24"/>
              <w:szCs w:val="24"/>
              <w:lang w:val="lv-LV"/>
              <w14:textOutline w14:w="9525" w14:cap="rnd" w14:cmpd="sng" w14:algn="ctr">
                <w14:solidFill>
                  <w14:schemeClr w14:val="accent1">
                    <w14:shade w14:val="50000"/>
                  </w14:schemeClr>
                </w14:solidFill>
                <w14:prstDash w14:val="solid"/>
                <w14:bevel/>
              </w14:textOutline>
            </w:rPr>
          </w:pPr>
        </w:p>
        <w:p w14:paraId="44C75235" w14:textId="77777777" w:rsidR="00E54256" w:rsidRPr="00C26A35" w:rsidRDefault="00BF405B" w:rsidP="00E54256">
          <w:pPr>
            <w:pStyle w:val="NoSpacing"/>
            <w:jc w:val="center"/>
            <w:rPr>
              <w:rFonts w:ascii="Arial" w:hAnsi="Arial" w:cs="Arial"/>
              <w:b/>
              <w:bCs/>
              <w:sz w:val="28"/>
              <w:szCs w:val="28"/>
              <w:lang w:val="lv-LV"/>
            </w:rPr>
          </w:pPr>
          <w:r w:rsidRPr="00C26A35">
            <w:rPr>
              <w:rFonts w:ascii="Arial" w:hAnsi="Arial" w:cs="Arial"/>
              <w:b/>
              <w:bCs/>
              <w:sz w:val="28"/>
              <w:szCs w:val="28"/>
              <w:lang w:val="lv-LV"/>
            </w:rPr>
            <w:t>Ādažu novada pašvaldība</w:t>
          </w:r>
        </w:p>
        <w:p w14:paraId="2DA98968" w14:textId="77777777" w:rsidR="00E54256" w:rsidRPr="009A6467" w:rsidRDefault="00BF405B" w:rsidP="00E54256">
          <w:pPr>
            <w:pStyle w:val="NoSpacing"/>
            <w:jc w:val="center"/>
            <w:rPr>
              <w:rFonts w:ascii="Times New Roman" w:hAnsi="Times New Roman"/>
              <w:sz w:val="12"/>
              <w:szCs w:val="12"/>
              <w:lang w:val="lv-LV"/>
            </w:rPr>
          </w:pPr>
          <w:r w:rsidRPr="009A6467">
            <w:rPr>
              <w:rFonts w:ascii="Times New Roman" w:hAnsi="Times New Roman"/>
              <w:sz w:val="12"/>
              <w:szCs w:val="12"/>
              <w:lang w:val="lv-LV"/>
            </w:rPr>
            <w:t>________________________________</w:t>
          </w:r>
          <w:r>
            <w:rPr>
              <w:rFonts w:ascii="Times New Roman" w:hAnsi="Times New Roman"/>
              <w:sz w:val="12"/>
              <w:szCs w:val="12"/>
              <w:lang w:val="lv-LV"/>
            </w:rPr>
            <w:t>_______________________________________________________________________________________________</w:t>
          </w:r>
          <w:r w:rsidRPr="009A6467">
            <w:rPr>
              <w:rFonts w:ascii="Times New Roman" w:hAnsi="Times New Roman"/>
              <w:sz w:val="12"/>
              <w:szCs w:val="12"/>
              <w:lang w:val="lv-LV"/>
            </w:rPr>
            <w:t>_______________________</w:t>
          </w:r>
        </w:p>
        <w:p w14:paraId="5C091F90" w14:textId="77777777" w:rsidR="00E54256" w:rsidRPr="004960E4" w:rsidRDefault="00BF405B" w:rsidP="00E54256">
          <w:pPr>
            <w:pStyle w:val="NoSpacing"/>
            <w:spacing w:before="120"/>
            <w:jc w:val="center"/>
            <w:rPr>
              <w:rFonts w:ascii="Arial" w:hAnsi="Arial" w:cs="Arial"/>
              <w:noProof/>
              <w:sz w:val="20"/>
              <w:szCs w:val="20"/>
              <w:lang w:val="lv-LV"/>
            </w:rPr>
          </w:pPr>
          <w:r w:rsidRPr="004960E4">
            <w:rPr>
              <w:rFonts w:ascii="Arial" w:hAnsi="Arial" w:cs="Arial"/>
              <w:noProof/>
              <w:sz w:val="20"/>
              <w:szCs w:val="20"/>
              <w:lang w:val="lv-LV"/>
            </w:rPr>
            <w:t xml:space="preserve">Gaujas </w:t>
          </w:r>
          <w:r w:rsidRPr="004960E4">
            <w:rPr>
              <w:rFonts w:ascii="Arial" w:hAnsi="Arial" w:cs="Arial"/>
              <w:noProof/>
              <w:sz w:val="20"/>
              <w:szCs w:val="20"/>
              <w:lang w:val="lv-LV"/>
            </w:rPr>
            <w:t xml:space="preserve">iela 33A, Ādaži, </w:t>
          </w:r>
          <w:r>
            <w:rPr>
              <w:rFonts w:ascii="Arial" w:hAnsi="Arial" w:cs="Arial"/>
              <w:noProof/>
              <w:sz w:val="20"/>
              <w:szCs w:val="20"/>
              <w:lang w:val="lv-LV"/>
            </w:rPr>
            <w:t xml:space="preserve">Ādažu pag., </w:t>
          </w:r>
          <w:r w:rsidRPr="004960E4">
            <w:rPr>
              <w:rFonts w:ascii="Arial" w:hAnsi="Arial" w:cs="Arial"/>
              <w:noProof/>
              <w:sz w:val="20"/>
              <w:szCs w:val="20"/>
              <w:lang w:val="lv-LV"/>
            </w:rPr>
            <w:t>Ādažu novads, LV-2164</w:t>
          </w:r>
          <w:r>
            <w:rPr>
              <w:rFonts w:ascii="Arial" w:hAnsi="Arial" w:cs="Arial"/>
              <w:noProof/>
              <w:sz w:val="20"/>
              <w:szCs w:val="20"/>
              <w:lang w:val="lv-LV"/>
            </w:rPr>
            <w:t>,</w:t>
          </w:r>
          <w:r w:rsidRPr="004960E4">
            <w:rPr>
              <w:rFonts w:ascii="Arial" w:hAnsi="Arial" w:cs="Arial"/>
              <w:noProof/>
              <w:sz w:val="20"/>
              <w:szCs w:val="20"/>
              <w:lang w:val="lv-LV"/>
            </w:rPr>
            <w:t xml:space="preserve"> </w:t>
          </w:r>
          <w:r>
            <w:rPr>
              <w:rFonts w:ascii="Arial" w:hAnsi="Arial" w:cs="Arial"/>
              <w:noProof/>
              <w:sz w:val="20"/>
              <w:szCs w:val="20"/>
              <w:lang w:val="lv-LV"/>
            </w:rPr>
            <w:t xml:space="preserve">tālr. </w:t>
          </w:r>
          <w:r w:rsidRPr="004960E4">
            <w:rPr>
              <w:rFonts w:ascii="Arial" w:hAnsi="Arial" w:cs="Arial"/>
              <w:noProof/>
              <w:sz w:val="20"/>
              <w:szCs w:val="20"/>
              <w:lang w:val="lv-LV"/>
            </w:rPr>
            <w:t>67997350</w:t>
          </w:r>
          <w:r>
            <w:rPr>
              <w:rFonts w:ascii="Arial" w:hAnsi="Arial" w:cs="Arial"/>
              <w:noProof/>
              <w:sz w:val="20"/>
              <w:szCs w:val="20"/>
              <w:lang w:val="lv-LV"/>
            </w:rPr>
            <w:t xml:space="preserve">, e-pasts </w:t>
          </w:r>
          <w:r w:rsidRPr="004960E4">
            <w:rPr>
              <w:rFonts w:ascii="Arial" w:hAnsi="Arial" w:cs="Arial"/>
              <w:noProof/>
              <w:sz w:val="20"/>
              <w:szCs w:val="20"/>
              <w:lang w:val="lv-LV"/>
            </w:rPr>
            <w:t>dome@adazi.lv</w:t>
          </w:r>
        </w:p>
        <w:p w14:paraId="650CCDC6" w14:textId="77777777" w:rsidR="00E54256" w:rsidRDefault="00BF405B" w:rsidP="00E54256">
          <w:pPr>
            <w:spacing w:after="0"/>
            <w:jc w:val="center"/>
            <w:rPr>
              <w:rFonts w:ascii="Arial" w:hAnsi="Arial" w:cs="Arial"/>
              <w:sz w:val="20"/>
              <w:szCs w:val="20"/>
            </w:rPr>
          </w:pPr>
        </w:p>
      </w:sdtContent>
    </w:sdt>
    <w:p w14:paraId="4C3FB6D1" w14:textId="77777777" w:rsidR="00677CAC" w:rsidRPr="00BB2284" w:rsidRDefault="00BF405B" w:rsidP="00677CAC">
      <w:pPr>
        <w:spacing w:after="0"/>
        <w:jc w:val="center"/>
        <w:rPr>
          <w:noProof/>
          <w:sz w:val="28"/>
          <w:szCs w:val="28"/>
        </w:rPr>
      </w:pPr>
      <w:r w:rsidRPr="00BB2284">
        <w:rPr>
          <w:noProof/>
          <w:sz w:val="28"/>
          <w:szCs w:val="28"/>
        </w:rPr>
        <w:t>LĒMUMS</w:t>
      </w:r>
    </w:p>
    <w:p w14:paraId="435541E6" w14:textId="4EB5441C" w:rsidR="00677CAC" w:rsidRDefault="00BF405B" w:rsidP="00677CAC">
      <w:pPr>
        <w:spacing w:after="0"/>
        <w:jc w:val="center"/>
        <w:rPr>
          <w:noProof/>
        </w:rPr>
      </w:pPr>
      <w:r>
        <w:rPr>
          <w:noProof/>
        </w:rPr>
        <w:t>Ādažos, Ādažu novadā</w:t>
      </w:r>
    </w:p>
    <w:p w14:paraId="38CDE374" w14:textId="77777777" w:rsidR="00677CAC" w:rsidRDefault="00BF405B" w:rsidP="00677CAC">
      <w:pPr>
        <w:spacing w:after="0"/>
      </w:pPr>
      <w:r>
        <w:rPr>
          <w:noProof/>
        </w:rPr>
        <w:tab/>
      </w:r>
      <w:r>
        <w:rPr>
          <w:noProof/>
        </w:rPr>
        <w:tab/>
      </w:r>
      <w:r>
        <w:rPr>
          <w:noProof/>
        </w:rPr>
        <w:tab/>
      </w:r>
      <w:r>
        <w:rPr>
          <w:noProof/>
        </w:rPr>
        <w:tab/>
      </w:r>
    </w:p>
    <w:p w14:paraId="4D9BBD3F" w14:textId="5DD2F656" w:rsidR="00677CAC" w:rsidRDefault="00BF405B" w:rsidP="00677CAC">
      <w:pPr>
        <w:spacing w:after="0"/>
      </w:pPr>
      <w:r w:rsidRPr="00966945">
        <w:t>2021</w:t>
      </w:r>
      <w:r w:rsidR="009E3083">
        <w:t>.</w:t>
      </w:r>
      <w:r w:rsidR="001459BB">
        <w:t xml:space="preserve"> </w:t>
      </w:r>
      <w:r w:rsidR="009E3083">
        <w:t xml:space="preserve">gada </w:t>
      </w:r>
      <w:r w:rsidR="006E37B9">
        <w:t>24</w:t>
      </w:r>
      <w:r w:rsidR="009E3083" w:rsidRPr="00966945">
        <w:t>.</w:t>
      </w:r>
      <w:r w:rsidR="001459BB">
        <w:t xml:space="preserve"> </w:t>
      </w:r>
      <w:r w:rsidRPr="00966945">
        <w:t>augustā</w:t>
      </w:r>
      <w:r w:rsidR="009E3083">
        <w:tab/>
      </w:r>
      <w:r w:rsidR="009E3083">
        <w:tab/>
      </w:r>
      <w:r w:rsidR="009E3083">
        <w:tab/>
      </w:r>
      <w:r w:rsidR="009E3083">
        <w:tab/>
      </w:r>
      <w:r w:rsidR="009E3083">
        <w:tab/>
      </w:r>
      <w:r w:rsidR="00547222">
        <w:tab/>
      </w:r>
      <w:r w:rsidR="00547222">
        <w:tab/>
      </w:r>
      <w:r w:rsidR="00547222">
        <w:tab/>
      </w:r>
      <w:r w:rsidR="009E3083">
        <w:rPr>
          <w:b/>
        </w:rPr>
        <w:t>Nr.</w:t>
      </w:r>
      <w:r w:rsidR="00547222">
        <w:rPr>
          <w:b/>
        </w:rPr>
        <w:t xml:space="preserve"> </w:t>
      </w:r>
      <w:r w:rsidR="009E3083" w:rsidRPr="00547222">
        <w:rPr>
          <w:b/>
          <w:bCs/>
          <w:noProof/>
        </w:rPr>
        <w:t>63</w:t>
      </w:r>
      <w:r w:rsidR="009E3083" w:rsidRPr="00EE1822">
        <w:tab/>
      </w:r>
    </w:p>
    <w:p w14:paraId="6AB7E723" w14:textId="77777777" w:rsidR="00677CAC" w:rsidRPr="00441DE7" w:rsidRDefault="00677CAC" w:rsidP="00677CAC">
      <w:pPr>
        <w:spacing w:after="0"/>
        <w:rPr>
          <w:b/>
        </w:rPr>
      </w:pPr>
    </w:p>
    <w:p w14:paraId="0AC3BE49" w14:textId="75A3535C" w:rsidR="00677CAC" w:rsidRPr="001861F2" w:rsidRDefault="00BF405B" w:rsidP="00677CAC">
      <w:pPr>
        <w:spacing w:after="0"/>
        <w:jc w:val="center"/>
        <w:rPr>
          <w:b/>
          <w:color w:val="FF0000"/>
        </w:rPr>
      </w:pPr>
      <w:r w:rsidRPr="0034107D">
        <w:rPr>
          <w:b/>
        </w:rPr>
        <w:t xml:space="preserve">Par </w:t>
      </w:r>
      <w:r w:rsidR="00966945" w:rsidRPr="005571CE">
        <w:rPr>
          <w:b/>
        </w:rPr>
        <w:t>Gaujas ielas apvienotā gājēju un veloceliņa projektēšan</w:t>
      </w:r>
      <w:r w:rsidR="00966945">
        <w:rPr>
          <w:b/>
        </w:rPr>
        <w:t>u un būvniecību</w:t>
      </w:r>
    </w:p>
    <w:p w14:paraId="1267AC2C" w14:textId="77777777" w:rsidR="00677CAC" w:rsidRPr="001861F2" w:rsidRDefault="00677CAC" w:rsidP="00677CAC">
      <w:pPr>
        <w:spacing w:after="0"/>
        <w:rPr>
          <w:b/>
          <w:i/>
          <w:color w:val="FF0000"/>
        </w:rPr>
      </w:pPr>
    </w:p>
    <w:p w14:paraId="6090972E" w14:textId="77777777" w:rsidR="006E37B9" w:rsidRPr="001459BB" w:rsidRDefault="00BF405B" w:rsidP="006E37B9">
      <w:pPr>
        <w:spacing w:before="120"/>
      </w:pPr>
      <w:r>
        <w:t xml:space="preserve">Ādažu novada Attīstības programmas (2016.-2022.) Investīciju plānā ir iekļauts pasākums </w:t>
      </w:r>
      <w:r w:rsidRPr="005571CE">
        <w:t xml:space="preserve">2.1.2.4.2. </w:t>
      </w:r>
      <w:r>
        <w:t>“</w:t>
      </w:r>
      <w:r w:rsidRPr="005571CE">
        <w:t xml:space="preserve">Pašvaldības ielu segumu atjaunošana (Gaujas ielas atjaunošana posmā no </w:t>
      </w:r>
      <w:proofErr w:type="spellStart"/>
      <w:r w:rsidRPr="005571CE">
        <w:t>Kadagas</w:t>
      </w:r>
      <w:proofErr w:type="spellEnd"/>
      <w:r w:rsidRPr="005571CE">
        <w:t xml:space="preserve"> </w:t>
      </w:r>
      <w:r w:rsidRPr="001459BB">
        <w:t>tilta līdz Dadzīša ielai (veloceliņš), Dadzīša ielai pilnā atjaunošana)”</w:t>
      </w:r>
      <w:r>
        <w:t>, kas</w:t>
      </w:r>
      <w:r>
        <w:t xml:space="preserve"> </w:t>
      </w:r>
      <w:r w:rsidRPr="001459BB">
        <w:t xml:space="preserve">paredz tehniskā projekta izstrādi arī gājēju celiņa izbūvei. </w:t>
      </w:r>
    </w:p>
    <w:p w14:paraId="2604AB76" w14:textId="77777777" w:rsidR="006E37B9" w:rsidRDefault="00BF405B" w:rsidP="006E37B9">
      <w:pPr>
        <w:spacing w:before="120"/>
      </w:pPr>
      <w:r>
        <w:t xml:space="preserve">Minētās ieceres daļējai īstenošanai pašvaldība 2021. gadā izsludināja iepirkumu </w:t>
      </w:r>
      <w:r w:rsidRPr="000A04E5">
        <w:t>„</w:t>
      </w:r>
      <w:r>
        <w:t>Gaujas ielas apvienotā gājēju un veloceliņa projektēšana un būvniecība</w:t>
      </w:r>
      <w:r w:rsidRPr="000A04E5">
        <w:t>”</w:t>
      </w:r>
      <w:r>
        <w:t xml:space="preserve"> (atklāts konkurss,</w:t>
      </w:r>
      <w:r w:rsidRPr="00FB71A9">
        <w:t xml:space="preserve"> </w:t>
      </w:r>
      <w:proofErr w:type="spellStart"/>
      <w:r w:rsidRPr="00FB71A9">
        <w:t>Id</w:t>
      </w:r>
      <w:proofErr w:type="spellEnd"/>
      <w:r>
        <w:t xml:space="preserve">. </w:t>
      </w:r>
      <w:proofErr w:type="spellStart"/>
      <w:r w:rsidRPr="005571CE">
        <w:t>Nr.ĀND</w:t>
      </w:r>
      <w:proofErr w:type="spellEnd"/>
      <w:r w:rsidRPr="005571CE">
        <w:t xml:space="preserve"> 2021/87</w:t>
      </w:r>
      <w:r w:rsidRPr="00873D20">
        <w:t>)</w:t>
      </w:r>
      <w:r>
        <w:t xml:space="preserve"> u</w:t>
      </w:r>
      <w:r>
        <w:t>n 2021. gada 27. jūlijā notika iesniegto piedāvājumu izskatīšana. Par atbilstošu iepirkuma nolikuma prasībām ir zemākais finanšu piedāvājums</w:t>
      </w:r>
      <w:r w:rsidRPr="00C76015">
        <w:t xml:space="preserve"> </w:t>
      </w:r>
      <w:r>
        <w:t xml:space="preserve">ar kopējo summu </w:t>
      </w:r>
      <w:r w:rsidRPr="00C76015">
        <w:t xml:space="preserve"> </w:t>
      </w:r>
      <w:r>
        <w:t>265 039,67</w:t>
      </w:r>
      <w:r w:rsidRPr="00C76015">
        <w:t xml:space="preserve"> eiro</w:t>
      </w:r>
      <w:r>
        <w:t xml:space="preserve"> ar PVN (projektēšanas un būvniecības darbi)</w:t>
      </w:r>
      <w:r w:rsidRPr="00C76015">
        <w:t>.</w:t>
      </w:r>
      <w:r>
        <w:t xml:space="preserve"> Finanšu piedāvājuma sadalījums:</w:t>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tblCellMar>
        <w:tblLook w:val="04A0" w:firstRow="1" w:lastRow="0" w:firstColumn="1" w:lastColumn="0" w:noHBand="0" w:noVBand="1"/>
      </w:tblPr>
      <w:tblGrid>
        <w:gridCol w:w="1058"/>
        <w:gridCol w:w="5169"/>
        <w:gridCol w:w="1560"/>
        <w:gridCol w:w="1275"/>
      </w:tblGrid>
      <w:tr w:rsidR="00727F8B" w14:paraId="2F628D60" w14:textId="77777777" w:rsidTr="00547222">
        <w:trPr>
          <w:trHeight w:val="365"/>
        </w:trPr>
        <w:tc>
          <w:tcPr>
            <w:tcW w:w="1058" w:type="dxa"/>
            <w:shd w:val="clear" w:color="000000" w:fill="FFFFFF"/>
            <w:vAlign w:val="center"/>
          </w:tcPr>
          <w:p w14:paraId="1C3288FD" w14:textId="77777777" w:rsidR="006E37B9" w:rsidRDefault="00BF405B" w:rsidP="00D45229">
            <w:pPr>
              <w:spacing w:before="40" w:after="40"/>
              <w:jc w:val="center"/>
              <w:rPr>
                <w:color w:val="000000"/>
                <w:sz w:val="22"/>
                <w:szCs w:val="22"/>
              </w:rPr>
            </w:pPr>
            <w:r w:rsidRPr="00DA24B8">
              <w:rPr>
                <w:color w:val="000000"/>
                <w:sz w:val="22"/>
                <w:szCs w:val="22"/>
              </w:rPr>
              <w:t>Nr.</w:t>
            </w:r>
          </w:p>
          <w:p w14:paraId="59BE1173" w14:textId="77777777" w:rsidR="006E37B9" w:rsidRPr="00DA24B8" w:rsidRDefault="00BF405B" w:rsidP="00D45229">
            <w:pPr>
              <w:spacing w:before="40" w:after="40"/>
              <w:jc w:val="center"/>
              <w:rPr>
                <w:color w:val="000000"/>
                <w:sz w:val="22"/>
                <w:szCs w:val="22"/>
                <w:lang w:val="en-US"/>
              </w:rPr>
            </w:pPr>
            <w:r w:rsidRPr="00DA24B8">
              <w:rPr>
                <w:color w:val="000000"/>
                <w:sz w:val="22"/>
                <w:szCs w:val="22"/>
              </w:rPr>
              <w:t>p.k.</w:t>
            </w:r>
          </w:p>
        </w:tc>
        <w:tc>
          <w:tcPr>
            <w:tcW w:w="5169" w:type="dxa"/>
            <w:shd w:val="clear" w:color="auto" w:fill="auto"/>
            <w:vAlign w:val="center"/>
          </w:tcPr>
          <w:p w14:paraId="6BB043D0" w14:textId="77777777" w:rsidR="006E37B9" w:rsidRPr="00DA24B8" w:rsidRDefault="00BF405B" w:rsidP="00D45229">
            <w:pPr>
              <w:spacing w:before="40" w:after="40"/>
              <w:rPr>
                <w:color w:val="000000"/>
                <w:sz w:val="22"/>
                <w:szCs w:val="22"/>
                <w:lang w:val="en-US"/>
              </w:rPr>
            </w:pPr>
            <w:r w:rsidRPr="00DA24B8">
              <w:rPr>
                <w:sz w:val="22"/>
                <w:szCs w:val="22"/>
              </w:rPr>
              <w:t>Iepirkuma priekšmeta nosaukums</w:t>
            </w:r>
          </w:p>
        </w:tc>
        <w:tc>
          <w:tcPr>
            <w:tcW w:w="1560" w:type="dxa"/>
            <w:shd w:val="clear" w:color="auto" w:fill="auto"/>
            <w:vAlign w:val="center"/>
          </w:tcPr>
          <w:p w14:paraId="64267700" w14:textId="77777777" w:rsidR="006E37B9" w:rsidRDefault="00BF405B" w:rsidP="00D45229">
            <w:pPr>
              <w:spacing w:before="40" w:after="40"/>
              <w:jc w:val="center"/>
              <w:rPr>
                <w:i/>
                <w:iCs/>
                <w:color w:val="000000"/>
                <w:sz w:val="22"/>
                <w:szCs w:val="22"/>
              </w:rPr>
            </w:pPr>
            <w:r w:rsidRPr="00DA24B8">
              <w:rPr>
                <w:sz w:val="22"/>
                <w:szCs w:val="22"/>
              </w:rPr>
              <w:t xml:space="preserve">Cena </w:t>
            </w:r>
            <w:proofErr w:type="spellStart"/>
            <w:r w:rsidRPr="00DA24B8">
              <w:rPr>
                <w:i/>
                <w:iCs/>
                <w:color w:val="000000"/>
                <w:sz w:val="22"/>
                <w:szCs w:val="22"/>
              </w:rPr>
              <w:t>euro</w:t>
            </w:r>
            <w:proofErr w:type="spellEnd"/>
            <w:r w:rsidRPr="00DA24B8">
              <w:rPr>
                <w:i/>
                <w:iCs/>
                <w:color w:val="000000"/>
                <w:sz w:val="22"/>
                <w:szCs w:val="22"/>
              </w:rPr>
              <w:t xml:space="preserve"> </w:t>
            </w:r>
          </w:p>
          <w:p w14:paraId="32B01F55" w14:textId="77777777" w:rsidR="006E37B9" w:rsidRPr="00DA24B8" w:rsidRDefault="00BF405B" w:rsidP="00D45229">
            <w:pPr>
              <w:spacing w:before="40" w:after="40"/>
              <w:jc w:val="center"/>
              <w:rPr>
                <w:color w:val="000000"/>
                <w:sz w:val="22"/>
                <w:szCs w:val="22"/>
                <w:lang w:val="en-US"/>
              </w:rPr>
            </w:pPr>
            <w:r w:rsidRPr="00DA24B8">
              <w:rPr>
                <w:color w:val="000000"/>
                <w:sz w:val="22"/>
                <w:szCs w:val="22"/>
              </w:rPr>
              <w:t>bez PVN</w:t>
            </w:r>
          </w:p>
        </w:tc>
        <w:tc>
          <w:tcPr>
            <w:tcW w:w="1275" w:type="dxa"/>
            <w:shd w:val="clear" w:color="auto" w:fill="auto"/>
            <w:vAlign w:val="center"/>
          </w:tcPr>
          <w:p w14:paraId="29AEBBAC" w14:textId="77777777" w:rsidR="006E37B9" w:rsidRPr="00DA24B8" w:rsidRDefault="00BF405B" w:rsidP="00D45229">
            <w:pPr>
              <w:spacing w:before="40" w:after="40"/>
              <w:jc w:val="center"/>
              <w:rPr>
                <w:color w:val="000000"/>
                <w:sz w:val="22"/>
                <w:szCs w:val="22"/>
                <w:lang w:val="en-US"/>
              </w:rPr>
            </w:pPr>
            <w:r w:rsidRPr="00DA24B8">
              <w:rPr>
                <w:sz w:val="22"/>
                <w:szCs w:val="22"/>
              </w:rPr>
              <w:t xml:space="preserve">Cena </w:t>
            </w:r>
            <w:proofErr w:type="spellStart"/>
            <w:r w:rsidRPr="00DA24B8">
              <w:rPr>
                <w:i/>
                <w:iCs/>
                <w:color w:val="000000"/>
                <w:sz w:val="22"/>
                <w:szCs w:val="22"/>
              </w:rPr>
              <w:t>euro</w:t>
            </w:r>
            <w:proofErr w:type="spellEnd"/>
            <w:r w:rsidRPr="00DA24B8">
              <w:rPr>
                <w:color w:val="000000"/>
                <w:sz w:val="22"/>
                <w:szCs w:val="22"/>
              </w:rPr>
              <w:t xml:space="preserve"> ar PVN</w:t>
            </w:r>
          </w:p>
        </w:tc>
      </w:tr>
      <w:tr w:rsidR="00727F8B" w14:paraId="2E293752" w14:textId="77777777" w:rsidTr="00547222">
        <w:trPr>
          <w:trHeight w:val="365"/>
        </w:trPr>
        <w:tc>
          <w:tcPr>
            <w:tcW w:w="1058" w:type="dxa"/>
            <w:shd w:val="clear" w:color="000000" w:fill="FFFFFF"/>
            <w:vAlign w:val="center"/>
          </w:tcPr>
          <w:p w14:paraId="72D6782F" w14:textId="77777777" w:rsidR="006E37B9" w:rsidRPr="00DA24B8" w:rsidRDefault="00BF405B" w:rsidP="00D45229">
            <w:pPr>
              <w:spacing w:before="40" w:after="40"/>
              <w:jc w:val="center"/>
              <w:rPr>
                <w:color w:val="000000"/>
                <w:sz w:val="22"/>
                <w:szCs w:val="22"/>
                <w:lang w:val="en-US"/>
              </w:rPr>
            </w:pPr>
            <w:r w:rsidRPr="00DA24B8">
              <w:rPr>
                <w:sz w:val="22"/>
                <w:szCs w:val="22"/>
              </w:rPr>
              <w:t>1</w:t>
            </w:r>
          </w:p>
        </w:tc>
        <w:tc>
          <w:tcPr>
            <w:tcW w:w="5169" w:type="dxa"/>
            <w:shd w:val="clear" w:color="auto" w:fill="auto"/>
            <w:vAlign w:val="center"/>
          </w:tcPr>
          <w:p w14:paraId="28CD9AE3" w14:textId="77777777" w:rsidR="006E37B9" w:rsidRPr="00DA24B8" w:rsidRDefault="00BF405B" w:rsidP="00D45229">
            <w:pPr>
              <w:spacing w:before="40" w:after="40"/>
              <w:rPr>
                <w:color w:val="000000"/>
                <w:sz w:val="22"/>
                <w:szCs w:val="22"/>
                <w:lang w:val="en-US"/>
              </w:rPr>
            </w:pPr>
            <w:r w:rsidRPr="00DA24B8">
              <w:rPr>
                <w:color w:val="000000"/>
                <w:sz w:val="22"/>
                <w:szCs w:val="22"/>
              </w:rPr>
              <w:t>Būvprojekta izstrādes izmaksas</w:t>
            </w:r>
          </w:p>
        </w:tc>
        <w:tc>
          <w:tcPr>
            <w:tcW w:w="1560" w:type="dxa"/>
            <w:shd w:val="clear" w:color="auto" w:fill="auto"/>
            <w:vAlign w:val="center"/>
          </w:tcPr>
          <w:p w14:paraId="72BBBB05" w14:textId="77777777" w:rsidR="006E37B9" w:rsidRPr="00DA24B8" w:rsidRDefault="00BF405B" w:rsidP="00D45229">
            <w:pPr>
              <w:spacing w:before="40" w:after="40"/>
              <w:jc w:val="center"/>
              <w:rPr>
                <w:color w:val="000000"/>
                <w:sz w:val="22"/>
                <w:szCs w:val="22"/>
                <w:lang w:val="en-US"/>
              </w:rPr>
            </w:pPr>
            <w:r w:rsidRPr="00DA24B8">
              <w:rPr>
                <w:color w:val="000000"/>
                <w:sz w:val="22"/>
                <w:szCs w:val="22"/>
              </w:rPr>
              <w:t>36 720,00</w:t>
            </w:r>
          </w:p>
        </w:tc>
        <w:tc>
          <w:tcPr>
            <w:tcW w:w="1275" w:type="dxa"/>
            <w:shd w:val="clear" w:color="auto" w:fill="auto"/>
            <w:vAlign w:val="center"/>
          </w:tcPr>
          <w:p w14:paraId="2702B6BD" w14:textId="77777777" w:rsidR="006E37B9" w:rsidRPr="00DA24B8" w:rsidRDefault="00BF405B" w:rsidP="00D45229">
            <w:pPr>
              <w:spacing w:before="40" w:after="40"/>
              <w:jc w:val="center"/>
              <w:rPr>
                <w:color w:val="000000"/>
                <w:sz w:val="22"/>
                <w:szCs w:val="22"/>
                <w:lang w:val="en-US"/>
              </w:rPr>
            </w:pPr>
            <w:r w:rsidRPr="00DA24B8">
              <w:rPr>
                <w:color w:val="000000"/>
                <w:sz w:val="22"/>
                <w:szCs w:val="22"/>
              </w:rPr>
              <w:t>44 431,20</w:t>
            </w:r>
          </w:p>
        </w:tc>
      </w:tr>
      <w:tr w:rsidR="00727F8B" w14:paraId="174F6F59" w14:textId="77777777" w:rsidTr="00547222">
        <w:trPr>
          <w:trHeight w:val="365"/>
        </w:trPr>
        <w:tc>
          <w:tcPr>
            <w:tcW w:w="1058" w:type="dxa"/>
            <w:shd w:val="clear" w:color="000000" w:fill="FFFFFF"/>
            <w:vAlign w:val="center"/>
            <w:hideMark/>
          </w:tcPr>
          <w:p w14:paraId="7E3C0347" w14:textId="77777777" w:rsidR="006E37B9" w:rsidRPr="00DA24B8" w:rsidRDefault="00BF405B" w:rsidP="00D45229">
            <w:pPr>
              <w:spacing w:before="40" w:after="40"/>
              <w:jc w:val="center"/>
              <w:rPr>
                <w:color w:val="000000"/>
                <w:sz w:val="22"/>
                <w:szCs w:val="22"/>
                <w:lang w:val="en-US"/>
              </w:rPr>
            </w:pPr>
            <w:r w:rsidRPr="00DA24B8">
              <w:rPr>
                <w:sz w:val="22"/>
                <w:szCs w:val="22"/>
              </w:rPr>
              <w:t>2</w:t>
            </w:r>
          </w:p>
        </w:tc>
        <w:tc>
          <w:tcPr>
            <w:tcW w:w="5169" w:type="dxa"/>
            <w:shd w:val="clear" w:color="auto" w:fill="auto"/>
            <w:vAlign w:val="center"/>
            <w:hideMark/>
          </w:tcPr>
          <w:p w14:paraId="5F56A75D" w14:textId="77777777" w:rsidR="006E37B9" w:rsidRPr="00DA24B8" w:rsidRDefault="00BF405B" w:rsidP="00D45229">
            <w:pPr>
              <w:spacing w:before="40" w:after="40"/>
              <w:rPr>
                <w:color w:val="000000"/>
                <w:sz w:val="22"/>
                <w:szCs w:val="22"/>
                <w:lang w:val="en-US"/>
              </w:rPr>
            </w:pPr>
            <w:r w:rsidRPr="00DA24B8">
              <w:rPr>
                <w:color w:val="000000"/>
                <w:sz w:val="22"/>
                <w:szCs w:val="22"/>
              </w:rPr>
              <w:t>Autoruzraudzības veikšanas izmaksas Būvprojekta 1.kārtai</w:t>
            </w:r>
          </w:p>
        </w:tc>
        <w:tc>
          <w:tcPr>
            <w:tcW w:w="1560" w:type="dxa"/>
            <w:shd w:val="clear" w:color="auto" w:fill="auto"/>
            <w:vAlign w:val="center"/>
            <w:hideMark/>
          </w:tcPr>
          <w:p w14:paraId="1A5F7C45" w14:textId="77777777" w:rsidR="006E37B9" w:rsidRPr="00DA24B8" w:rsidRDefault="00BF405B" w:rsidP="00D45229">
            <w:pPr>
              <w:spacing w:before="40" w:after="40"/>
              <w:jc w:val="center"/>
              <w:rPr>
                <w:color w:val="000000"/>
                <w:sz w:val="22"/>
                <w:szCs w:val="22"/>
                <w:lang w:val="en-US"/>
              </w:rPr>
            </w:pPr>
            <w:r w:rsidRPr="00DA24B8">
              <w:rPr>
                <w:color w:val="000000"/>
                <w:sz w:val="22"/>
                <w:szCs w:val="22"/>
              </w:rPr>
              <w:t>1 736,64</w:t>
            </w:r>
          </w:p>
        </w:tc>
        <w:tc>
          <w:tcPr>
            <w:tcW w:w="1275" w:type="dxa"/>
            <w:shd w:val="clear" w:color="auto" w:fill="auto"/>
            <w:vAlign w:val="center"/>
            <w:hideMark/>
          </w:tcPr>
          <w:p w14:paraId="5C2F229B" w14:textId="77777777" w:rsidR="006E37B9" w:rsidRPr="00DA24B8" w:rsidRDefault="00BF405B" w:rsidP="00D45229">
            <w:pPr>
              <w:spacing w:before="40" w:after="40"/>
              <w:jc w:val="center"/>
              <w:rPr>
                <w:color w:val="000000"/>
                <w:sz w:val="22"/>
                <w:szCs w:val="22"/>
                <w:lang w:val="en-US"/>
              </w:rPr>
            </w:pPr>
            <w:r w:rsidRPr="00DA24B8">
              <w:rPr>
                <w:color w:val="000000"/>
                <w:sz w:val="22"/>
                <w:szCs w:val="22"/>
              </w:rPr>
              <w:t>2 101,33</w:t>
            </w:r>
          </w:p>
        </w:tc>
      </w:tr>
      <w:tr w:rsidR="00727F8B" w14:paraId="510104B0" w14:textId="77777777" w:rsidTr="00547222">
        <w:trPr>
          <w:trHeight w:val="365"/>
        </w:trPr>
        <w:tc>
          <w:tcPr>
            <w:tcW w:w="1058" w:type="dxa"/>
            <w:shd w:val="clear" w:color="000000" w:fill="FFFFFF"/>
            <w:vAlign w:val="center"/>
            <w:hideMark/>
          </w:tcPr>
          <w:p w14:paraId="5D6F7768" w14:textId="77777777" w:rsidR="006E37B9" w:rsidRPr="00DA24B8" w:rsidRDefault="00BF405B" w:rsidP="00D45229">
            <w:pPr>
              <w:spacing w:before="40" w:after="40"/>
              <w:jc w:val="center"/>
              <w:rPr>
                <w:color w:val="000000"/>
                <w:sz w:val="22"/>
                <w:szCs w:val="22"/>
                <w:lang w:val="en-US"/>
              </w:rPr>
            </w:pPr>
            <w:r w:rsidRPr="00DA24B8">
              <w:rPr>
                <w:sz w:val="22"/>
                <w:szCs w:val="22"/>
              </w:rPr>
              <w:t>3</w:t>
            </w:r>
          </w:p>
        </w:tc>
        <w:tc>
          <w:tcPr>
            <w:tcW w:w="5169" w:type="dxa"/>
            <w:shd w:val="clear" w:color="auto" w:fill="auto"/>
            <w:vAlign w:val="center"/>
            <w:hideMark/>
          </w:tcPr>
          <w:p w14:paraId="1844B4F7" w14:textId="77777777" w:rsidR="006E37B9" w:rsidRPr="00DA24B8" w:rsidRDefault="00BF405B" w:rsidP="00D45229">
            <w:pPr>
              <w:spacing w:before="40" w:after="40"/>
              <w:rPr>
                <w:color w:val="000000"/>
                <w:sz w:val="22"/>
                <w:szCs w:val="22"/>
                <w:lang w:val="en-US"/>
              </w:rPr>
            </w:pPr>
            <w:r w:rsidRPr="00DA24B8">
              <w:rPr>
                <w:color w:val="000000"/>
                <w:sz w:val="22"/>
                <w:szCs w:val="22"/>
              </w:rPr>
              <w:t xml:space="preserve">Autoruzraudzības veikšanas izmaksas </w:t>
            </w:r>
            <w:r w:rsidRPr="00DA24B8">
              <w:rPr>
                <w:color w:val="000000"/>
                <w:sz w:val="22"/>
                <w:szCs w:val="22"/>
              </w:rPr>
              <w:t>Būvprojekta 2.kārtai</w:t>
            </w:r>
          </w:p>
        </w:tc>
        <w:tc>
          <w:tcPr>
            <w:tcW w:w="1560" w:type="dxa"/>
            <w:shd w:val="clear" w:color="auto" w:fill="auto"/>
            <w:vAlign w:val="center"/>
            <w:hideMark/>
          </w:tcPr>
          <w:p w14:paraId="1EDF1597" w14:textId="77777777" w:rsidR="006E37B9" w:rsidRPr="00DA24B8" w:rsidRDefault="00BF405B" w:rsidP="00D45229">
            <w:pPr>
              <w:spacing w:before="40" w:after="40"/>
              <w:jc w:val="center"/>
              <w:rPr>
                <w:color w:val="000000"/>
                <w:sz w:val="22"/>
                <w:szCs w:val="22"/>
                <w:lang w:val="en-US"/>
              </w:rPr>
            </w:pPr>
            <w:r w:rsidRPr="00DA24B8">
              <w:rPr>
                <w:color w:val="000000"/>
                <w:sz w:val="22"/>
                <w:szCs w:val="22"/>
              </w:rPr>
              <w:t>200,88</w:t>
            </w:r>
          </w:p>
        </w:tc>
        <w:tc>
          <w:tcPr>
            <w:tcW w:w="1275" w:type="dxa"/>
            <w:shd w:val="clear" w:color="auto" w:fill="auto"/>
            <w:vAlign w:val="center"/>
            <w:hideMark/>
          </w:tcPr>
          <w:p w14:paraId="6F4BFB9F" w14:textId="77777777" w:rsidR="006E37B9" w:rsidRPr="00DA24B8" w:rsidRDefault="00BF405B" w:rsidP="00D45229">
            <w:pPr>
              <w:spacing w:before="40" w:after="40"/>
              <w:jc w:val="center"/>
              <w:rPr>
                <w:color w:val="000000"/>
                <w:sz w:val="22"/>
                <w:szCs w:val="22"/>
                <w:lang w:val="en-US"/>
              </w:rPr>
            </w:pPr>
            <w:r w:rsidRPr="00DA24B8">
              <w:rPr>
                <w:color w:val="000000"/>
                <w:sz w:val="22"/>
                <w:szCs w:val="22"/>
              </w:rPr>
              <w:t>243,06</w:t>
            </w:r>
          </w:p>
        </w:tc>
      </w:tr>
      <w:tr w:rsidR="00727F8B" w14:paraId="62CCC942" w14:textId="77777777" w:rsidTr="00547222">
        <w:trPr>
          <w:trHeight w:val="365"/>
        </w:trPr>
        <w:tc>
          <w:tcPr>
            <w:tcW w:w="1058" w:type="dxa"/>
            <w:shd w:val="clear" w:color="000000" w:fill="FFFFFF"/>
            <w:vAlign w:val="center"/>
            <w:hideMark/>
          </w:tcPr>
          <w:p w14:paraId="2F1DAC94" w14:textId="77777777" w:rsidR="006E37B9" w:rsidRPr="00DA24B8" w:rsidRDefault="00BF405B" w:rsidP="00D45229">
            <w:pPr>
              <w:spacing w:before="40" w:after="40"/>
              <w:jc w:val="center"/>
              <w:rPr>
                <w:color w:val="000000"/>
                <w:sz w:val="22"/>
                <w:szCs w:val="22"/>
                <w:lang w:val="en-US"/>
              </w:rPr>
            </w:pPr>
            <w:r w:rsidRPr="00DA24B8">
              <w:rPr>
                <w:sz w:val="22"/>
                <w:szCs w:val="22"/>
              </w:rPr>
              <w:t>4</w:t>
            </w:r>
          </w:p>
        </w:tc>
        <w:tc>
          <w:tcPr>
            <w:tcW w:w="5169" w:type="dxa"/>
            <w:shd w:val="clear" w:color="auto" w:fill="auto"/>
            <w:vAlign w:val="center"/>
            <w:hideMark/>
          </w:tcPr>
          <w:p w14:paraId="20727F09" w14:textId="77777777" w:rsidR="006E37B9" w:rsidRPr="00DA24B8" w:rsidRDefault="00BF405B" w:rsidP="00D45229">
            <w:pPr>
              <w:spacing w:before="40" w:after="40"/>
              <w:rPr>
                <w:color w:val="000000"/>
                <w:sz w:val="22"/>
                <w:szCs w:val="22"/>
                <w:lang w:val="en-US"/>
              </w:rPr>
            </w:pPr>
            <w:r w:rsidRPr="00DA24B8">
              <w:rPr>
                <w:color w:val="000000"/>
                <w:sz w:val="22"/>
                <w:szCs w:val="22"/>
              </w:rPr>
              <w:t>Autoruzraudzības veikšanas izmaksas Būvprojekta 3.kārtai</w:t>
            </w:r>
          </w:p>
        </w:tc>
        <w:tc>
          <w:tcPr>
            <w:tcW w:w="1560" w:type="dxa"/>
            <w:shd w:val="clear" w:color="auto" w:fill="auto"/>
            <w:vAlign w:val="center"/>
            <w:hideMark/>
          </w:tcPr>
          <w:p w14:paraId="63804ADE" w14:textId="77777777" w:rsidR="006E37B9" w:rsidRPr="00DA24B8" w:rsidRDefault="00BF405B" w:rsidP="00D45229">
            <w:pPr>
              <w:spacing w:before="40" w:after="40"/>
              <w:jc w:val="center"/>
              <w:rPr>
                <w:color w:val="000000"/>
                <w:sz w:val="22"/>
                <w:szCs w:val="22"/>
                <w:lang w:val="en-US"/>
              </w:rPr>
            </w:pPr>
            <w:r w:rsidRPr="00DA24B8">
              <w:rPr>
                <w:color w:val="000000"/>
                <w:sz w:val="22"/>
                <w:szCs w:val="22"/>
              </w:rPr>
              <w:t>222,48</w:t>
            </w:r>
          </w:p>
        </w:tc>
        <w:tc>
          <w:tcPr>
            <w:tcW w:w="1275" w:type="dxa"/>
            <w:shd w:val="clear" w:color="auto" w:fill="auto"/>
            <w:vAlign w:val="center"/>
            <w:hideMark/>
          </w:tcPr>
          <w:p w14:paraId="4BC5153E" w14:textId="77777777" w:rsidR="006E37B9" w:rsidRPr="00DA24B8" w:rsidRDefault="00BF405B" w:rsidP="00D45229">
            <w:pPr>
              <w:spacing w:before="40" w:after="40"/>
              <w:jc w:val="center"/>
              <w:rPr>
                <w:color w:val="000000"/>
                <w:sz w:val="22"/>
                <w:szCs w:val="22"/>
                <w:lang w:val="en-US"/>
              </w:rPr>
            </w:pPr>
            <w:r w:rsidRPr="00DA24B8">
              <w:rPr>
                <w:color w:val="000000"/>
                <w:sz w:val="22"/>
                <w:szCs w:val="22"/>
              </w:rPr>
              <w:t>269,20</w:t>
            </w:r>
          </w:p>
        </w:tc>
      </w:tr>
      <w:tr w:rsidR="00727F8B" w14:paraId="2CDA8F50" w14:textId="77777777" w:rsidTr="00547222">
        <w:trPr>
          <w:trHeight w:val="365"/>
        </w:trPr>
        <w:tc>
          <w:tcPr>
            <w:tcW w:w="1058" w:type="dxa"/>
            <w:shd w:val="clear" w:color="000000" w:fill="FFFFFF"/>
            <w:vAlign w:val="center"/>
            <w:hideMark/>
          </w:tcPr>
          <w:p w14:paraId="6551CBBB" w14:textId="77777777" w:rsidR="006E37B9" w:rsidRPr="00DA24B8" w:rsidRDefault="00BF405B" w:rsidP="00D45229">
            <w:pPr>
              <w:spacing w:before="40" w:after="40"/>
              <w:jc w:val="center"/>
              <w:rPr>
                <w:color w:val="000000"/>
                <w:sz w:val="22"/>
                <w:szCs w:val="22"/>
                <w:lang w:val="en-US"/>
              </w:rPr>
            </w:pPr>
            <w:r w:rsidRPr="00DA24B8">
              <w:rPr>
                <w:sz w:val="22"/>
                <w:szCs w:val="22"/>
              </w:rPr>
              <w:t>5</w:t>
            </w:r>
          </w:p>
        </w:tc>
        <w:tc>
          <w:tcPr>
            <w:tcW w:w="5169" w:type="dxa"/>
            <w:shd w:val="clear" w:color="auto" w:fill="auto"/>
            <w:vAlign w:val="center"/>
            <w:hideMark/>
          </w:tcPr>
          <w:p w14:paraId="0E01AE36" w14:textId="77777777" w:rsidR="006E37B9" w:rsidRPr="00DA24B8" w:rsidRDefault="00BF405B" w:rsidP="00D45229">
            <w:pPr>
              <w:spacing w:before="40" w:after="40"/>
              <w:rPr>
                <w:color w:val="000000"/>
                <w:sz w:val="22"/>
                <w:szCs w:val="22"/>
                <w:lang w:val="en-US"/>
              </w:rPr>
            </w:pPr>
            <w:r w:rsidRPr="00DA24B8">
              <w:rPr>
                <w:color w:val="000000"/>
                <w:sz w:val="22"/>
                <w:szCs w:val="22"/>
              </w:rPr>
              <w:t>Būvdarbi 1.kārtai (no Gundegu ielas līdz Priežu ielai)</w:t>
            </w:r>
          </w:p>
        </w:tc>
        <w:tc>
          <w:tcPr>
            <w:tcW w:w="1560" w:type="dxa"/>
            <w:shd w:val="clear" w:color="auto" w:fill="auto"/>
            <w:vAlign w:val="center"/>
            <w:hideMark/>
          </w:tcPr>
          <w:p w14:paraId="718508F5" w14:textId="77777777" w:rsidR="006E37B9" w:rsidRPr="00DA24B8" w:rsidRDefault="00BF405B" w:rsidP="00D45229">
            <w:pPr>
              <w:spacing w:before="40" w:after="40"/>
              <w:jc w:val="center"/>
              <w:rPr>
                <w:color w:val="000000"/>
                <w:sz w:val="22"/>
                <w:szCs w:val="22"/>
                <w:lang w:val="en-US"/>
              </w:rPr>
            </w:pPr>
            <w:r w:rsidRPr="00DA24B8">
              <w:rPr>
                <w:color w:val="000000"/>
                <w:sz w:val="22"/>
                <w:szCs w:val="22"/>
              </w:rPr>
              <w:t>144 849,49</w:t>
            </w:r>
          </w:p>
        </w:tc>
        <w:tc>
          <w:tcPr>
            <w:tcW w:w="1275" w:type="dxa"/>
            <w:shd w:val="clear" w:color="auto" w:fill="auto"/>
            <w:vAlign w:val="center"/>
            <w:hideMark/>
          </w:tcPr>
          <w:p w14:paraId="17B599D0" w14:textId="77777777" w:rsidR="006E37B9" w:rsidRPr="00DA24B8" w:rsidRDefault="00BF405B" w:rsidP="00D45229">
            <w:pPr>
              <w:spacing w:before="40" w:after="40"/>
              <w:jc w:val="center"/>
              <w:rPr>
                <w:color w:val="000000"/>
                <w:sz w:val="22"/>
                <w:szCs w:val="22"/>
                <w:lang w:val="en-US"/>
              </w:rPr>
            </w:pPr>
            <w:r w:rsidRPr="00DA24B8">
              <w:rPr>
                <w:color w:val="000000"/>
                <w:sz w:val="22"/>
                <w:szCs w:val="22"/>
              </w:rPr>
              <w:t>175 267,89</w:t>
            </w:r>
          </w:p>
        </w:tc>
      </w:tr>
      <w:tr w:rsidR="00727F8B" w14:paraId="2B03DC35" w14:textId="77777777" w:rsidTr="00547222">
        <w:trPr>
          <w:trHeight w:val="714"/>
        </w:trPr>
        <w:tc>
          <w:tcPr>
            <w:tcW w:w="1058" w:type="dxa"/>
            <w:shd w:val="clear" w:color="000000" w:fill="FFFFFF"/>
            <w:vAlign w:val="center"/>
            <w:hideMark/>
          </w:tcPr>
          <w:p w14:paraId="57B8C63B" w14:textId="77777777" w:rsidR="006E37B9" w:rsidRPr="00DA24B8" w:rsidRDefault="00BF405B" w:rsidP="00D45229">
            <w:pPr>
              <w:spacing w:before="40" w:after="40"/>
              <w:jc w:val="center"/>
              <w:rPr>
                <w:color w:val="000000"/>
                <w:sz w:val="22"/>
                <w:szCs w:val="22"/>
                <w:lang w:val="en-US"/>
              </w:rPr>
            </w:pPr>
            <w:r w:rsidRPr="00DA24B8">
              <w:rPr>
                <w:sz w:val="22"/>
                <w:szCs w:val="22"/>
              </w:rPr>
              <w:t>6</w:t>
            </w:r>
          </w:p>
        </w:tc>
        <w:tc>
          <w:tcPr>
            <w:tcW w:w="5169" w:type="dxa"/>
            <w:shd w:val="clear" w:color="auto" w:fill="auto"/>
            <w:vAlign w:val="center"/>
            <w:hideMark/>
          </w:tcPr>
          <w:p w14:paraId="66999AED" w14:textId="77777777" w:rsidR="006E37B9" w:rsidRPr="00DA24B8" w:rsidRDefault="00BF405B" w:rsidP="00D45229">
            <w:pPr>
              <w:spacing w:before="40" w:after="40"/>
              <w:rPr>
                <w:color w:val="000000"/>
                <w:sz w:val="22"/>
                <w:szCs w:val="22"/>
                <w:lang w:val="en-US"/>
              </w:rPr>
            </w:pPr>
            <w:r w:rsidRPr="00DA24B8">
              <w:rPr>
                <w:color w:val="000000"/>
                <w:sz w:val="22"/>
                <w:szCs w:val="22"/>
              </w:rPr>
              <w:t xml:space="preserve">Būvdarbi 2.kārtai (no Priežu ielas (ieskaitot pāreju pār </w:t>
            </w:r>
            <w:r w:rsidRPr="00DA24B8">
              <w:rPr>
                <w:color w:val="000000"/>
                <w:sz w:val="22"/>
                <w:szCs w:val="22"/>
              </w:rPr>
              <w:t>Priežu ielu) līdz Ozolu ielai)</w:t>
            </w:r>
          </w:p>
        </w:tc>
        <w:tc>
          <w:tcPr>
            <w:tcW w:w="1560" w:type="dxa"/>
            <w:shd w:val="clear" w:color="auto" w:fill="auto"/>
            <w:vAlign w:val="center"/>
            <w:hideMark/>
          </w:tcPr>
          <w:p w14:paraId="2DD9599B" w14:textId="77777777" w:rsidR="006E37B9" w:rsidRPr="00DA24B8" w:rsidRDefault="00BF405B" w:rsidP="00D45229">
            <w:pPr>
              <w:spacing w:before="40" w:after="40"/>
              <w:jc w:val="center"/>
              <w:rPr>
                <w:color w:val="000000"/>
                <w:sz w:val="22"/>
                <w:szCs w:val="22"/>
                <w:lang w:val="en-US"/>
              </w:rPr>
            </w:pPr>
            <w:r w:rsidRPr="00DA24B8">
              <w:rPr>
                <w:color w:val="000000"/>
                <w:sz w:val="22"/>
                <w:szCs w:val="22"/>
              </w:rPr>
              <w:t>16 754,98</w:t>
            </w:r>
          </w:p>
        </w:tc>
        <w:tc>
          <w:tcPr>
            <w:tcW w:w="1275" w:type="dxa"/>
            <w:shd w:val="clear" w:color="auto" w:fill="auto"/>
            <w:vAlign w:val="center"/>
            <w:hideMark/>
          </w:tcPr>
          <w:p w14:paraId="064F4B2E" w14:textId="77777777" w:rsidR="006E37B9" w:rsidRPr="00DA24B8" w:rsidRDefault="00BF405B" w:rsidP="00D45229">
            <w:pPr>
              <w:spacing w:before="40" w:after="40"/>
              <w:jc w:val="center"/>
              <w:rPr>
                <w:color w:val="000000"/>
                <w:sz w:val="22"/>
                <w:szCs w:val="22"/>
                <w:lang w:val="en-US"/>
              </w:rPr>
            </w:pPr>
            <w:r w:rsidRPr="00DA24B8">
              <w:rPr>
                <w:color w:val="000000"/>
                <w:sz w:val="22"/>
                <w:szCs w:val="22"/>
              </w:rPr>
              <w:t>20 273,52</w:t>
            </w:r>
          </w:p>
        </w:tc>
      </w:tr>
      <w:tr w:rsidR="00727F8B" w14:paraId="6754EF2C" w14:textId="77777777" w:rsidTr="00547222">
        <w:trPr>
          <w:trHeight w:val="714"/>
        </w:trPr>
        <w:tc>
          <w:tcPr>
            <w:tcW w:w="1058" w:type="dxa"/>
            <w:shd w:val="clear" w:color="000000" w:fill="FFFFFF"/>
            <w:vAlign w:val="center"/>
            <w:hideMark/>
          </w:tcPr>
          <w:p w14:paraId="4E23B572" w14:textId="77777777" w:rsidR="006E37B9" w:rsidRPr="00DA24B8" w:rsidRDefault="00BF405B" w:rsidP="00D45229">
            <w:pPr>
              <w:spacing w:before="40" w:after="40"/>
              <w:jc w:val="center"/>
              <w:rPr>
                <w:color w:val="000000"/>
                <w:sz w:val="22"/>
                <w:szCs w:val="22"/>
                <w:lang w:val="en-US"/>
              </w:rPr>
            </w:pPr>
            <w:r w:rsidRPr="00DA24B8">
              <w:rPr>
                <w:sz w:val="22"/>
                <w:szCs w:val="22"/>
              </w:rPr>
              <w:t>7</w:t>
            </w:r>
          </w:p>
        </w:tc>
        <w:tc>
          <w:tcPr>
            <w:tcW w:w="5169" w:type="dxa"/>
            <w:shd w:val="clear" w:color="auto" w:fill="auto"/>
            <w:vAlign w:val="center"/>
            <w:hideMark/>
          </w:tcPr>
          <w:p w14:paraId="4AF4A83C" w14:textId="77777777" w:rsidR="006E37B9" w:rsidRPr="00DA24B8" w:rsidRDefault="00BF405B" w:rsidP="00D45229">
            <w:pPr>
              <w:spacing w:before="40" w:after="40"/>
              <w:rPr>
                <w:color w:val="000000"/>
                <w:sz w:val="22"/>
                <w:szCs w:val="22"/>
                <w:lang w:val="en-US"/>
              </w:rPr>
            </w:pPr>
            <w:r w:rsidRPr="00DA24B8">
              <w:rPr>
                <w:color w:val="000000"/>
                <w:sz w:val="22"/>
                <w:szCs w:val="22"/>
              </w:rPr>
              <w:t>Būvdarbi 3.kārtai (no Ozolu ielas (ieskaitot pāreju pār Ozolu ielu) līdz Zīļu ielai)</w:t>
            </w:r>
          </w:p>
        </w:tc>
        <w:tc>
          <w:tcPr>
            <w:tcW w:w="1560" w:type="dxa"/>
            <w:shd w:val="clear" w:color="auto" w:fill="auto"/>
            <w:vAlign w:val="center"/>
            <w:hideMark/>
          </w:tcPr>
          <w:p w14:paraId="26E6ED20" w14:textId="77777777" w:rsidR="006E37B9" w:rsidRPr="00DA24B8" w:rsidRDefault="00BF405B" w:rsidP="00D45229">
            <w:pPr>
              <w:spacing w:before="40" w:after="40"/>
              <w:jc w:val="center"/>
              <w:rPr>
                <w:color w:val="000000"/>
                <w:sz w:val="22"/>
                <w:szCs w:val="22"/>
                <w:lang w:val="en-US"/>
              </w:rPr>
            </w:pPr>
            <w:r w:rsidRPr="00DA24B8">
              <w:rPr>
                <w:color w:val="000000"/>
                <w:sz w:val="22"/>
                <w:szCs w:val="22"/>
              </w:rPr>
              <w:t>18 556,59</w:t>
            </w:r>
          </w:p>
        </w:tc>
        <w:tc>
          <w:tcPr>
            <w:tcW w:w="1275" w:type="dxa"/>
            <w:shd w:val="clear" w:color="auto" w:fill="auto"/>
            <w:vAlign w:val="center"/>
            <w:hideMark/>
          </w:tcPr>
          <w:p w14:paraId="0423AA9D" w14:textId="77777777" w:rsidR="006E37B9" w:rsidRPr="00DA24B8" w:rsidRDefault="00BF405B" w:rsidP="00D45229">
            <w:pPr>
              <w:spacing w:before="40" w:after="40"/>
              <w:jc w:val="center"/>
              <w:rPr>
                <w:color w:val="000000"/>
                <w:sz w:val="22"/>
                <w:szCs w:val="22"/>
                <w:lang w:val="en-US"/>
              </w:rPr>
            </w:pPr>
            <w:r w:rsidRPr="00DA24B8">
              <w:rPr>
                <w:color w:val="000000"/>
                <w:sz w:val="22"/>
                <w:szCs w:val="22"/>
              </w:rPr>
              <w:t>22 453,47</w:t>
            </w:r>
          </w:p>
        </w:tc>
      </w:tr>
      <w:tr w:rsidR="00727F8B" w14:paraId="7D6F28AC" w14:textId="77777777" w:rsidTr="00547222">
        <w:trPr>
          <w:trHeight w:val="714"/>
        </w:trPr>
        <w:tc>
          <w:tcPr>
            <w:tcW w:w="1058" w:type="dxa"/>
            <w:shd w:val="clear" w:color="000000" w:fill="FFFFFF"/>
            <w:vAlign w:val="center"/>
          </w:tcPr>
          <w:p w14:paraId="40685648" w14:textId="77777777" w:rsidR="006E37B9" w:rsidRPr="00DA24B8" w:rsidRDefault="006E37B9" w:rsidP="00D45229">
            <w:pPr>
              <w:spacing w:before="40" w:after="40"/>
              <w:jc w:val="center"/>
              <w:rPr>
                <w:sz w:val="22"/>
                <w:szCs w:val="22"/>
              </w:rPr>
            </w:pPr>
          </w:p>
        </w:tc>
        <w:tc>
          <w:tcPr>
            <w:tcW w:w="5169" w:type="dxa"/>
            <w:shd w:val="clear" w:color="auto" w:fill="auto"/>
            <w:vAlign w:val="center"/>
          </w:tcPr>
          <w:p w14:paraId="7DC2E630" w14:textId="77777777" w:rsidR="006E37B9" w:rsidRPr="00DA24B8" w:rsidRDefault="00BF405B" w:rsidP="00D45229">
            <w:pPr>
              <w:spacing w:before="40" w:after="40"/>
              <w:jc w:val="right"/>
              <w:rPr>
                <w:color w:val="000000"/>
                <w:sz w:val="22"/>
                <w:szCs w:val="22"/>
              </w:rPr>
            </w:pPr>
            <w:r w:rsidRPr="00DA24B8">
              <w:rPr>
                <w:b/>
                <w:bCs/>
                <w:sz w:val="22"/>
                <w:szCs w:val="22"/>
              </w:rPr>
              <w:t>Kopējā piedāvājuma līgumcena:</w:t>
            </w:r>
          </w:p>
        </w:tc>
        <w:tc>
          <w:tcPr>
            <w:tcW w:w="1560" w:type="dxa"/>
            <w:shd w:val="clear" w:color="auto" w:fill="auto"/>
            <w:vAlign w:val="center"/>
          </w:tcPr>
          <w:p w14:paraId="3905BE11" w14:textId="77777777" w:rsidR="006E37B9" w:rsidRPr="00DA24B8" w:rsidRDefault="00BF405B" w:rsidP="00D45229">
            <w:pPr>
              <w:spacing w:before="40" w:after="40"/>
              <w:jc w:val="center"/>
              <w:rPr>
                <w:color w:val="000000"/>
                <w:sz w:val="22"/>
                <w:szCs w:val="22"/>
              </w:rPr>
            </w:pPr>
            <w:r w:rsidRPr="00DA24B8">
              <w:rPr>
                <w:b/>
                <w:bCs/>
                <w:color w:val="000000"/>
                <w:sz w:val="22"/>
                <w:szCs w:val="22"/>
              </w:rPr>
              <w:t>219 041,06</w:t>
            </w:r>
          </w:p>
        </w:tc>
        <w:tc>
          <w:tcPr>
            <w:tcW w:w="1275" w:type="dxa"/>
            <w:shd w:val="clear" w:color="auto" w:fill="auto"/>
            <w:vAlign w:val="center"/>
          </w:tcPr>
          <w:p w14:paraId="2C596B1E" w14:textId="77777777" w:rsidR="006E37B9" w:rsidRPr="00DA24B8" w:rsidRDefault="00BF405B" w:rsidP="00D45229">
            <w:pPr>
              <w:spacing w:before="40" w:after="40"/>
              <w:jc w:val="center"/>
              <w:rPr>
                <w:color w:val="000000"/>
                <w:sz w:val="22"/>
                <w:szCs w:val="22"/>
              </w:rPr>
            </w:pPr>
            <w:r w:rsidRPr="00DA24B8">
              <w:rPr>
                <w:b/>
                <w:bCs/>
                <w:color w:val="000000"/>
                <w:sz w:val="22"/>
                <w:szCs w:val="22"/>
              </w:rPr>
              <w:t>265 039,67</w:t>
            </w:r>
          </w:p>
        </w:tc>
      </w:tr>
    </w:tbl>
    <w:p w14:paraId="2C785954" w14:textId="1A96261B" w:rsidR="006E37B9" w:rsidRDefault="00BF405B" w:rsidP="006E37B9">
      <w:pPr>
        <w:autoSpaceDE w:val="0"/>
        <w:autoSpaceDN w:val="0"/>
        <w:adjustRightInd w:val="0"/>
      </w:pPr>
      <w:r w:rsidRPr="00D451D9">
        <w:t xml:space="preserve">Saskaņā ar Ādažu novada </w:t>
      </w:r>
      <w:r w:rsidRPr="00D451D9">
        <w:t>pašvaldības 27.07.2021. gada saistošajiem noteikumiem Nr. 3/20</w:t>
      </w:r>
      <w:r w:rsidRPr="00F4095A">
        <w:t>21</w:t>
      </w:r>
      <w:r w:rsidRPr="00086F70">
        <w:t>“</w:t>
      </w:r>
      <w:bookmarkStart w:id="0" w:name="_Hlk62132847"/>
      <w:r w:rsidRPr="00A54D1D">
        <w:rPr>
          <w:lang w:eastAsia="lv-LV"/>
        </w:rPr>
        <w:t>Par Ādažu novada pašvaldības apvienoto budžetu 2021. gadam”</w:t>
      </w:r>
      <w:r w:rsidRPr="00A54D1D">
        <w:t xml:space="preserve"> Gaujas ielas gājēju celiņa izbūve Ādažos</w:t>
      </w:r>
      <w:r>
        <w:t xml:space="preserve">” (turpmāk – Projekts) bija plānots realizēt, ņemot aizņēmumu valsts kasē, pamatojoties uz </w:t>
      </w:r>
      <w:r>
        <w:t>Ministru kabineta 2021.gada 11. februāra noteikumiem Nr. 104 “Noteikumi par kritērijiem un kārtību, kādā tiek izvērtēti un izsniegti valsts aizdevumi pašvaldībām Covid-19 izraisītās krīzes seku mazināšanai un novēršanai“ (turpmāk – Noteikum</w:t>
      </w:r>
      <w:r w:rsidR="005406C8">
        <w:t>i</w:t>
      </w:r>
      <w:r>
        <w:t xml:space="preserve">).  </w:t>
      </w:r>
    </w:p>
    <w:p w14:paraId="2007B553" w14:textId="77777777" w:rsidR="006E37B9" w:rsidRPr="00A54D1D" w:rsidRDefault="00BF405B" w:rsidP="006E37B9">
      <w:pPr>
        <w:autoSpaceDE w:val="0"/>
        <w:autoSpaceDN w:val="0"/>
        <w:adjustRightInd w:val="0"/>
        <w:rPr>
          <w:lang w:eastAsia="lv-LV"/>
        </w:rPr>
      </w:pPr>
      <w:r>
        <w:rPr>
          <w:lang w:eastAsia="lv-LV"/>
        </w:rPr>
        <w:lastRenderedPageBreak/>
        <w:t>Izvērtējot</w:t>
      </w:r>
      <w:r>
        <w:rPr>
          <w:lang w:eastAsia="lv-LV"/>
        </w:rPr>
        <w:t xml:space="preserve"> Noteikumu prasības un Projekta realizācijas kalendāro grafiku ir secināms, ka pašvaldība nevar izpildīt Noteikumos noteiktās prasības, lai varētu saņemt valsts kases aizdevumu, jo nav iespējams uzsākt būvdarbus līdz 2021.gada 31. decembrim un apgūt vismaz</w:t>
      </w:r>
      <w:r>
        <w:rPr>
          <w:lang w:eastAsia="lv-LV"/>
        </w:rPr>
        <w:t xml:space="preserve"> 30% valsts budžeta aizdevuma apmēra 2021.gadā, jo Projekta būvprojekta izstrāde saskaņā ar iepirkuma noteikumiem  ir iespējama līdz 3 mēnešiem no līguma noslēgšanas brīža.      </w:t>
      </w:r>
    </w:p>
    <w:bookmarkEnd w:id="0"/>
    <w:p w14:paraId="62C3E168" w14:textId="77777777" w:rsidR="006E37B9" w:rsidRPr="00C751D9" w:rsidRDefault="00BF405B" w:rsidP="006E37B9">
      <w:pPr>
        <w:spacing w:before="120"/>
      </w:pPr>
      <w:r>
        <w:t xml:space="preserve">Pamatojoties uz iepriekš minēto un </w:t>
      </w:r>
      <w:r w:rsidRPr="005E5F55">
        <w:t>likuma „Par pašvaldībām” 15.</w:t>
      </w:r>
      <w:r>
        <w:t xml:space="preserve"> panta pirmās </w:t>
      </w:r>
      <w:r>
        <w:t xml:space="preserve">daļas </w:t>
      </w:r>
      <w:r w:rsidRPr="005E5F55">
        <w:t>2.</w:t>
      </w:r>
      <w:r>
        <w:t xml:space="preserve"> punktu, kā arī Finanšu komitejas 17.08.2021. atzinumu, Ādažu novada pašvaldības dome</w:t>
      </w:r>
    </w:p>
    <w:p w14:paraId="0FAB2BB9" w14:textId="77777777" w:rsidR="006E37B9" w:rsidRDefault="00BF405B" w:rsidP="006E37B9">
      <w:pPr>
        <w:jc w:val="center"/>
        <w:rPr>
          <w:b/>
        </w:rPr>
      </w:pPr>
      <w:r w:rsidRPr="0034107D">
        <w:rPr>
          <w:b/>
        </w:rPr>
        <w:t>NOLEMJ:</w:t>
      </w:r>
    </w:p>
    <w:p w14:paraId="34B922FD" w14:textId="77777777" w:rsidR="006E37B9" w:rsidRDefault="00BF405B" w:rsidP="006E37B9">
      <w:pPr>
        <w:numPr>
          <w:ilvl w:val="0"/>
          <w:numId w:val="8"/>
        </w:numPr>
        <w:tabs>
          <w:tab w:val="left" w:pos="426"/>
        </w:tabs>
        <w:ind w:left="426" w:hanging="426"/>
        <w:rPr>
          <w:color w:val="000000"/>
        </w:rPr>
      </w:pPr>
      <w:r>
        <w:rPr>
          <w:color w:val="000000"/>
        </w:rPr>
        <w:t>Projektu realizēt pilnā apjomā (visas kārtas),  2021. gadā izstrādājot tehnisko projektu un 2022. gadā veicot būvdarbus.</w:t>
      </w:r>
    </w:p>
    <w:p w14:paraId="3D800207" w14:textId="770D8B8D" w:rsidR="006E37B9" w:rsidRPr="00A61E51" w:rsidRDefault="00BF405B" w:rsidP="006E37B9">
      <w:pPr>
        <w:numPr>
          <w:ilvl w:val="0"/>
          <w:numId w:val="8"/>
        </w:numPr>
        <w:tabs>
          <w:tab w:val="left" w:pos="426"/>
        </w:tabs>
        <w:ind w:left="426" w:hanging="426"/>
        <w:rPr>
          <w:color w:val="000000"/>
        </w:rPr>
      </w:pPr>
      <w:r w:rsidRPr="00A61E51">
        <w:rPr>
          <w:color w:val="000000"/>
        </w:rPr>
        <w:t xml:space="preserve">Lēmuma izpildei nepieciešamo finansējumu tehniskā projekta izstrādei </w:t>
      </w:r>
      <w:r w:rsidRPr="00A61E51">
        <w:t xml:space="preserve">44 431,20 eiro ar PVN nodrošināt no </w:t>
      </w:r>
      <w:r>
        <w:t xml:space="preserve">pašvaldības </w:t>
      </w:r>
      <w:r w:rsidRPr="00A61E51">
        <w:t>2021</w:t>
      </w:r>
      <w:r w:rsidRPr="00A61E51">
        <w:rPr>
          <w:color w:val="000000"/>
        </w:rPr>
        <w:t>.</w:t>
      </w:r>
      <w:r>
        <w:rPr>
          <w:color w:val="000000"/>
        </w:rPr>
        <w:t xml:space="preserve"> </w:t>
      </w:r>
      <w:r w:rsidRPr="00A61E51">
        <w:rPr>
          <w:color w:val="000000"/>
        </w:rPr>
        <w:t>gada budžeta līdzekļiem</w:t>
      </w:r>
      <w:r w:rsidR="00834F23">
        <w:rPr>
          <w:color w:val="000000"/>
        </w:rPr>
        <w:t>, SID nodaļa 0649 EKK 5240.</w:t>
      </w:r>
    </w:p>
    <w:p w14:paraId="72DA9045" w14:textId="77777777" w:rsidR="006E37B9" w:rsidRPr="00DA24B8" w:rsidRDefault="00BF405B" w:rsidP="006E37B9">
      <w:pPr>
        <w:pStyle w:val="ListParagraph1"/>
        <w:numPr>
          <w:ilvl w:val="0"/>
          <w:numId w:val="8"/>
        </w:numPr>
        <w:tabs>
          <w:tab w:val="left" w:pos="426"/>
        </w:tabs>
        <w:spacing w:before="120" w:after="0" w:line="240" w:lineRule="auto"/>
        <w:ind w:left="426" w:hanging="426"/>
        <w:contextualSpacing w:val="0"/>
        <w:rPr>
          <w:rFonts w:ascii="Times New Roman" w:hAnsi="Times New Roman"/>
          <w:sz w:val="24"/>
          <w:szCs w:val="24"/>
        </w:rPr>
      </w:pPr>
      <w:r w:rsidRPr="00DA24B8">
        <w:rPr>
          <w:rFonts w:ascii="Times New Roman" w:hAnsi="Times New Roman"/>
          <w:sz w:val="24"/>
          <w:szCs w:val="24"/>
        </w:rPr>
        <w:t>Lēmuma</w:t>
      </w:r>
      <w:r w:rsidRPr="00DA24B8">
        <w:rPr>
          <w:rFonts w:ascii="Times New Roman" w:hAnsi="Times New Roman"/>
          <w:color w:val="000000"/>
          <w:sz w:val="24"/>
          <w:szCs w:val="24"/>
        </w:rPr>
        <w:t xml:space="preserve"> izpildei nepieciešamo finansējumu būvdarbiem un autoruzraudzība</w:t>
      </w:r>
      <w:r>
        <w:rPr>
          <w:rFonts w:ascii="Times New Roman" w:hAnsi="Times New Roman"/>
          <w:color w:val="000000"/>
          <w:sz w:val="24"/>
          <w:szCs w:val="24"/>
        </w:rPr>
        <w:t>i</w:t>
      </w:r>
      <w:r w:rsidRPr="00DA24B8">
        <w:rPr>
          <w:rFonts w:ascii="Times New Roman" w:hAnsi="Times New Roman"/>
          <w:color w:val="000000"/>
          <w:sz w:val="24"/>
          <w:szCs w:val="24"/>
        </w:rPr>
        <w:t xml:space="preserve"> </w:t>
      </w:r>
      <w:r w:rsidRPr="001459BB">
        <w:rPr>
          <w:rFonts w:ascii="Times New Roman" w:hAnsi="Times New Roman"/>
          <w:sz w:val="24"/>
          <w:szCs w:val="24"/>
        </w:rPr>
        <w:t>220 608,47</w:t>
      </w:r>
      <w:r w:rsidRPr="001459BB">
        <w:rPr>
          <w:rFonts w:ascii="Times New Roman" w:hAnsi="Times New Roman"/>
          <w:sz w:val="24"/>
          <w:szCs w:val="24"/>
        </w:rPr>
        <w:t xml:space="preserve"> eiro ar PVN </w:t>
      </w:r>
      <w:r>
        <w:rPr>
          <w:rFonts w:ascii="Times New Roman" w:hAnsi="Times New Roman"/>
          <w:sz w:val="24"/>
          <w:szCs w:val="24"/>
        </w:rPr>
        <w:t>iekļaut pašvaldības</w:t>
      </w:r>
      <w:r w:rsidRPr="001459BB">
        <w:rPr>
          <w:rFonts w:ascii="Times New Roman" w:hAnsi="Times New Roman"/>
          <w:sz w:val="24"/>
          <w:szCs w:val="24"/>
        </w:rPr>
        <w:t xml:space="preserve"> 2022</w:t>
      </w:r>
      <w:r w:rsidRPr="00DA24B8">
        <w:rPr>
          <w:rFonts w:ascii="Times New Roman" w:hAnsi="Times New Roman"/>
          <w:color w:val="000000"/>
          <w:sz w:val="24"/>
          <w:szCs w:val="24"/>
        </w:rPr>
        <w:t>.</w:t>
      </w:r>
      <w:r>
        <w:rPr>
          <w:rFonts w:ascii="Times New Roman" w:hAnsi="Times New Roman"/>
          <w:color w:val="000000"/>
          <w:sz w:val="24"/>
          <w:szCs w:val="24"/>
        </w:rPr>
        <w:t xml:space="preserve"> </w:t>
      </w:r>
      <w:r w:rsidRPr="00DA24B8">
        <w:rPr>
          <w:rFonts w:ascii="Times New Roman" w:hAnsi="Times New Roman"/>
          <w:color w:val="000000"/>
          <w:sz w:val="24"/>
          <w:szCs w:val="24"/>
        </w:rPr>
        <w:t xml:space="preserve">gada budžeta </w:t>
      </w:r>
      <w:r>
        <w:rPr>
          <w:rFonts w:ascii="Times New Roman" w:hAnsi="Times New Roman"/>
          <w:color w:val="000000"/>
          <w:sz w:val="24"/>
          <w:szCs w:val="24"/>
        </w:rPr>
        <w:t>projektā</w:t>
      </w:r>
      <w:r w:rsidRPr="00DA24B8">
        <w:rPr>
          <w:rFonts w:ascii="Times New Roman" w:hAnsi="Times New Roman"/>
          <w:color w:val="000000"/>
          <w:sz w:val="24"/>
          <w:szCs w:val="24"/>
        </w:rPr>
        <w:t>.</w:t>
      </w:r>
    </w:p>
    <w:p w14:paraId="45DD9D14" w14:textId="77777777" w:rsidR="006E37B9" w:rsidRPr="00A54D1D" w:rsidRDefault="00BF405B" w:rsidP="006E37B9">
      <w:pPr>
        <w:pStyle w:val="ListParagraph1"/>
        <w:numPr>
          <w:ilvl w:val="0"/>
          <w:numId w:val="8"/>
        </w:numPr>
        <w:tabs>
          <w:tab w:val="left" w:pos="426"/>
        </w:tabs>
        <w:spacing w:before="120" w:after="0" w:line="240" w:lineRule="auto"/>
        <w:ind w:left="426" w:hanging="426"/>
        <w:contextualSpacing w:val="0"/>
        <w:rPr>
          <w:rFonts w:ascii="Times New Roman" w:hAnsi="Times New Roman"/>
          <w:sz w:val="24"/>
          <w:szCs w:val="24"/>
        </w:rPr>
      </w:pPr>
      <w:r w:rsidRPr="00A54D1D">
        <w:rPr>
          <w:rFonts w:ascii="Times New Roman" w:hAnsi="Times New Roman"/>
          <w:sz w:val="24"/>
          <w:szCs w:val="24"/>
        </w:rPr>
        <w:t xml:space="preserve">Pašvaldības finansistam nodrošināt šā lēmuma 3.punkta izpildi. </w:t>
      </w:r>
    </w:p>
    <w:p w14:paraId="61DFE566" w14:textId="77777777" w:rsidR="006E37B9" w:rsidRDefault="00BF405B" w:rsidP="006E37B9">
      <w:pPr>
        <w:pStyle w:val="ListParagraph1"/>
        <w:numPr>
          <w:ilvl w:val="0"/>
          <w:numId w:val="8"/>
        </w:numPr>
        <w:tabs>
          <w:tab w:val="left" w:pos="426"/>
        </w:tabs>
        <w:spacing w:before="120" w:after="0" w:line="240" w:lineRule="auto"/>
        <w:ind w:left="426" w:hanging="426"/>
        <w:contextualSpacing w:val="0"/>
        <w:rPr>
          <w:rFonts w:ascii="Times New Roman" w:hAnsi="Times New Roman"/>
          <w:sz w:val="24"/>
          <w:szCs w:val="24"/>
        </w:rPr>
      </w:pPr>
      <w:r w:rsidRPr="00A54D1D">
        <w:rPr>
          <w:rFonts w:ascii="Times New Roman" w:hAnsi="Times New Roman"/>
          <w:sz w:val="24"/>
          <w:szCs w:val="24"/>
        </w:rPr>
        <w:t>Uzdot Saimniecības un infrastruktūras daļai organizēt 1.punktā minēto darbu izpildi.</w:t>
      </w:r>
    </w:p>
    <w:p w14:paraId="3FE08471" w14:textId="0D180B65" w:rsidR="00834F23" w:rsidRDefault="00BF405B" w:rsidP="00834F23">
      <w:pPr>
        <w:pStyle w:val="ListParagraph1"/>
        <w:numPr>
          <w:ilvl w:val="0"/>
          <w:numId w:val="8"/>
        </w:numPr>
        <w:tabs>
          <w:tab w:val="left" w:pos="426"/>
        </w:tabs>
        <w:spacing w:before="120" w:after="0" w:line="240" w:lineRule="auto"/>
        <w:ind w:left="426" w:hanging="426"/>
        <w:contextualSpacing w:val="0"/>
        <w:rPr>
          <w:rFonts w:ascii="Times New Roman" w:hAnsi="Times New Roman"/>
          <w:sz w:val="24"/>
          <w:szCs w:val="24"/>
        </w:rPr>
      </w:pPr>
      <w:r w:rsidRPr="00A54D1D">
        <w:rPr>
          <w:rFonts w:ascii="Times New Roman" w:hAnsi="Times New Roman"/>
          <w:sz w:val="24"/>
          <w:szCs w:val="24"/>
        </w:rPr>
        <w:t xml:space="preserve">Uzdot Saimniecības un infrastruktūras daļai </w:t>
      </w:r>
      <w:r>
        <w:rPr>
          <w:rFonts w:ascii="Times New Roman" w:hAnsi="Times New Roman"/>
          <w:sz w:val="24"/>
          <w:szCs w:val="24"/>
        </w:rPr>
        <w:t>v</w:t>
      </w:r>
      <w:r>
        <w:rPr>
          <w:rFonts w:ascii="Times New Roman" w:hAnsi="Times New Roman"/>
          <w:sz w:val="24"/>
          <w:szCs w:val="24"/>
        </w:rPr>
        <w:t>eikt</w:t>
      </w:r>
      <w:r w:rsidRPr="00A54D1D">
        <w:rPr>
          <w:rFonts w:ascii="Times New Roman" w:hAnsi="Times New Roman"/>
          <w:sz w:val="24"/>
          <w:szCs w:val="24"/>
        </w:rPr>
        <w:t xml:space="preserve"> </w:t>
      </w:r>
      <w:r>
        <w:rPr>
          <w:rFonts w:ascii="Times New Roman" w:hAnsi="Times New Roman"/>
          <w:sz w:val="24"/>
          <w:szCs w:val="24"/>
        </w:rPr>
        <w:t>projekta ietvaros skartās teritorijas (sarkano līniju koridors) novērtēšanu</w:t>
      </w:r>
      <w:r w:rsidRPr="00A54D1D">
        <w:rPr>
          <w:rFonts w:ascii="Times New Roman" w:hAnsi="Times New Roman"/>
          <w:sz w:val="24"/>
          <w:szCs w:val="24"/>
        </w:rPr>
        <w:t>.</w:t>
      </w:r>
    </w:p>
    <w:p w14:paraId="022D479A" w14:textId="70A036D9" w:rsidR="006E37B9" w:rsidRDefault="00BF405B" w:rsidP="006E37B9">
      <w:pPr>
        <w:pStyle w:val="ListParagraph1"/>
        <w:numPr>
          <w:ilvl w:val="0"/>
          <w:numId w:val="8"/>
        </w:numPr>
        <w:tabs>
          <w:tab w:val="left" w:pos="426"/>
        </w:tabs>
        <w:spacing w:before="120" w:after="0" w:line="240" w:lineRule="auto"/>
        <w:ind w:left="426" w:hanging="426"/>
        <w:contextualSpacing w:val="0"/>
        <w:rPr>
          <w:rFonts w:ascii="Times New Roman" w:hAnsi="Times New Roman"/>
          <w:sz w:val="24"/>
          <w:szCs w:val="24"/>
        </w:rPr>
      </w:pPr>
      <w:r>
        <w:rPr>
          <w:rFonts w:ascii="Times New Roman" w:hAnsi="Times New Roman"/>
          <w:sz w:val="24"/>
          <w:szCs w:val="24"/>
        </w:rPr>
        <w:t>Pašvaldības izpilddirektoram organizēt lēmuma izpildes kontroli</w:t>
      </w:r>
    </w:p>
    <w:p w14:paraId="753D0986" w14:textId="5DAF9E8D" w:rsidR="00677CAC" w:rsidRDefault="00677CAC" w:rsidP="00677CAC"/>
    <w:p w14:paraId="5A149319" w14:textId="77777777" w:rsidR="006E37B9" w:rsidRDefault="006E37B9" w:rsidP="00677CAC"/>
    <w:p w14:paraId="7F283D8F" w14:textId="1ABCF04A" w:rsidR="00F6747D" w:rsidRPr="00A61E51" w:rsidRDefault="00BF405B" w:rsidP="00547222">
      <w:pPr>
        <w:rPr>
          <w:rFonts w:eastAsia="Times New Roman"/>
          <w:b/>
          <w:bCs/>
          <w:lang w:eastAsia="lv-LV"/>
        </w:rPr>
      </w:pPr>
      <w:r>
        <w:rPr>
          <w:noProof/>
        </w:rPr>
        <w:t>Pašvaldības domes priekšsēdētājs</w:t>
      </w:r>
      <w:r>
        <w:rPr>
          <w:noProof/>
        </w:rPr>
        <w:tab/>
      </w:r>
      <w:r>
        <w:rPr>
          <w:noProof/>
        </w:rPr>
        <w:tab/>
      </w:r>
      <w:r>
        <w:rPr>
          <w:noProof/>
        </w:rPr>
        <w:tab/>
      </w:r>
      <w:r>
        <w:rPr>
          <w:noProof/>
        </w:rPr>
        <w:tab/>
      </w:r>
      <w:r>
        <w:rPr>
          <w:noProof/>
        </w:rPr>
        <w:tab/>
      </w:r>
      <w:r>
        <w:rPr>
          <w:noProof/>
        </w:rPr>
        <w:tab/>
        <w:t>M. Sprindžuks</w:t>
      </w:r>
      <w:r w:rsidRPr="00677CAC">
        <w:rPr>
          <w:noProof/>
        </w:rPr>
        <w:t xml:space="preserve"> </w:t>
      </w:r>
    </w:p>
    <w:sectPr w:rsidR="00F6747D" w:rsidRPr="00A61E51" w:rsidSect="007A62AA">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0E1"/>
    <w:multiLevelType w:val="hybridMultilevel"/>
    <w:tmpl w:val="95B247F6"/>
    <w:lvl w:ilvl="0" w:tplc="CA5CD27E">
      <w:start w:val="1"/>
      <w:numFmt w:val="decimal"/>
      <w:lvlText w:val="%1)"/>
      <w:lvlJc w:val="left"/>
      <w:pPr>
        <w:ind w:left="720" w:hanging="360"/>
      </w:pPr>
      <w:rPr>
        <w:rFonts w:hint="default"/>
      </w:rPr>
    </w:lvl>
    <w:lvl w:ilvl="1" w:tplc="A2F067B6">
      <w:start w:val="1"/>
      <w:numFmt w:val="lowerLetter"/>
      <w:lvlText w:val="%2."/>
      <w:lvlJc w:val="left"/>
      <w:pPr>
        <w:ind w:left="1440" w:hanging="360"/>
      </w:pPr>
    </w:lvl>
    <w:lvl w:ilvl="2" w:tplc="3262314A" w:tentative="1">
      <w:start w:val="1"/>
      <w:numFmt w:val="lowerRoman"/>
      <w:lvlText w:val="%3."/>
      <w:lvlJc w:val="right"/>
      <w:pPr>
        <w:ind w:left="2160" w:hanging="180"/>
      </w:pPr>
    </w:lvl>
    <w:lvl w:ilvl="3" w:tplc="3B14BC7E" w:tentative="1">
      <w:start w:val="1"/>
      <w:numFmt w:val="decimal"/>
      <w:lvlText w:val="%4."/>
      <w:lvlJc w:val="left"/>
      <w:pPr>
        <w:ind w:left="2880" w:hanging="360"/>
      </w:pPr>
    </w:lvl>
    <w:lvl w:ilvl="4" w:tplc="A74CB5AC" w:tentative="1">
      <w:start w:val="1"/>
      <w:numFmt w:val="lowerLetter"/>
      <w:lvlText w:val="%5."/>
      <w:lvlJc w:val="left"/>
      <w:pPr>
        <w:ind w:left="3600" w:hanging="360"/>
      </w:pPr>
    </w:lvl>
    <w:lvl w:ilvl="5" w:tplc="38E0531C" w:tentative="1">
      <w:start w:val="1"/>
      <w:numFmt w:val="lowerRoman"/>
      <w:lvlText w:val="%6."/>
      <w:lvlJc w:val="right"/>
      <w:pPr>
        <w:ind w:left="4320" w:hanging="180"/>
      </w:pPr>
    </w:lvl>
    <w:lvl w:ilvl="6" w:tplc="E70C500E" w:tentative="1">
      <w:start w:val="1"/>
      <w:numFmt w:val="decimal"/>
      <w:lvlText w:val="%7."/>
      <w:lvlJc w:val="left"/>
      <w:pPr>
        <w:ind w:left="5040" w:hanging="360"/>
      </w:pPr>
    </w:lvl>
    <w:lvl w:ilvl="7" w:tplc="BC34969E" w:tentative="1">
      <w:start w:val="1"/>
      <w:numFmt w:val="lowerLetter"/>
      <w:lvlText w:val="%8."/>
      <w:lvlJc w:val="left"/>
      <w:pPr>
        <w:ind w:left="5760" w:hanging="360"/>
      </w:pPr>
    </w:lvl>
    <w:lvl w:ilvl="8" w:tplc="C1E0476E" w:tentative="1">
      <w:start w:val="1"/>
      <w:numFmt w:val="lowerRoman"/>
      <w:lvlText w:val="%9."/>
      <w:lvlJc w:val="right"/>
      <w:pPr>
        <w:ind w:left="6480" w:hanging="180"/>
      </w:pPr>
    </w:lvl>
  </w:abstractNum>
  <w:abstractNum w:abstractNumId="1" w15:restartNumberingAfterBreak="1">
    <w:nsid w:val="05872BF4"/>
    <w:multiLevelType w:val="multilevel"/>
    <w:tmpl w:val="E9AE75A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107752F3"/>
    <w:multiLevelType w:val="hybridMultilevel"/>
    <w:tmpl w:val="63841CA0"/>
    <w:lvl w:ilvl="0" w:tplc="2E8E69C8">
      <w:start w:val="1"/>
      <w:numFmt w:val="decimal"/>
      <w:lvlText w:val="%1."/>
      <w:lvlJc w:val="left"/>
      <w:pPr>
        <w:ind w:left="720" w:hanging="360"/>
      </w:pPr>
      <w:rPr>
        <w:rFonts w:hint="default"/>
      </w:rPr>
    </w:lvl>
    <w:lvl w:ilvl="1" w:tplc="9CC01F16" w:tentative="1">
      <w:start w:val="1"/>
      <w:numFmt w:val="lowerLetter"/>
      <w:lvlText w:val="%2."/>
      <w:lvlJc w:val="left"/>
      <w:pPr>
        <w:ind w:left="1440" w:hanging="360"/>
      </w:pPr>
    </w:lvl>
    <w:lvl w:ilvl="2" w:tplc="E818A1AA" w:tentative="1">
      <w:start w:val="1"/>
      <w:numFmt w:val="lowerRoman"/>
      <w:lvlText w:val="%3."/>
      <w:lvlJc w:val="right"/>
      <w:pPr>
        <w:ind w:left="2160" w:hanging="180"/>
      </w:pPr>
    </w:lvl>
    <w:lvl w:ilvl="3" w:tplc="8F16B952" w:tentative="1">
      <w:start w:val="1"/>
      <w:numFmt w:val="decimal"/>
      <w:lvlText w:val="%4."/>
      <w:lvlJc w:val="left"/>
      <w:pPr>
        <w:ind w:left="2880" w:hanging="360"/>
      </w:pPr>
    </w:lvl>
    <w:lvl w:ilvl="4" w:tplc="0C44CEB4" w:tentative="1">
      <w:start w:val="1"/>
      <w:numFmt w:val="lowerLetter"/>
      <w:lvlText w:val="%5."/>
      <w:lvlJc w:val="left"/>
      <w:pPr>
        <w:ind w:left="3600" w:hanging="360"/>
      </w:pPr>
    </w:lvl>
    <w:lvl w:ilvl="5" w:tplc="7D7095B8" w:tentative="1">
      <w:start w:val="1"/>
      <w:numFmt w:val="lowerRoman"/>
      <w:lvlText w:val="%6."/>
      <w:lvlJc w:val="right"/>
      <w:pPr>
        <w:ind w:left="4320" w:hanging="180"/>
      </w:pPr>
    </w:lvl>
    <w:lvl w:ilvl="6" w:tplc="2CF41770" w:tentative="1">
      <w:start w:val="1"/>
      <w:numFmt w:val="decimal"/>
      <w:lvlText w:val="%7."/>
      <w:lvlJc w:val="left"/>
      <w:pPr>
        <w:ind w:left="5040" w:hanging="360"/>
      </w:pPr>
    </w:lvl>
    <w:lvl w:ilvl="7" w:tplc="6122C962" w:tentative="1">
      <w:start w:val="1"/>
      <w:numFmt w:val="lowerLetter"/>
      <w:lvlText w:val="%8."/>
      <w:lvlJc w:val="left"/>
      <w:pPr>
        <w:ind w:left="5760" w:hanging="360"/>
      </w:pPr>
    </w:lvl>
    <w:lvl w:ilvl="8" w:tplc="7390ED06" w:tentative="1">
      <w:start w:val="1"/>
      <w:numFmt w:val="lowerRoman"/>
      <w:lvlText w:val="%9."/>
      <w:lvlJc w:val="right"/>
      <w:pPr>
        <w:ind w:left="6480" w:hanging="180"/>
      </w:pPr>
    </w:lvl>
  </w:abstractNum>
  <w:abstractNum w:abstractNumId="3" w15:restartNumberingAfterBreak="1">
    <w:nsid w:val="23C322FA"/>
    <w:multiLevelType w:val="multilevel"/>
    <w:tmpl w:val="3F54E83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1">
    <w:nsid w:val="48A822D9"/>
    <w:multiLevelType w:val="hybridMultilevel"/>
    <w:tmpl w:val="95B247F6"/>
    <w:lvl w:ilvl="0" w:tplc="E7CADDBA">
      <w:start w:val="1"/>
      <w:numFmt w:val="decimal"/>
      <w:lvlText w:val="%1)"/>
      <w:lvlJc w:val="left"/>
      <w:pPr>
        <w:ind w:left="720" w:hanging="360"/>
      </w:pPr>
      <w:rPr>
        <w:rFonts w:hint="default"/>
      </w:rPr>
    </w:lvl>
    <w:lvl w:ilvl="1" w:tplc="C65C46D4">
      <w:start w:val="1"/>
      <w:numFmt w:val="lowerLetter"/>
      <w:lvlText w:val="%2."/>
      <w:lvlJc w:val="left"/>
      <w:pPr>
        <w:ind w:left="1440" w:hanging="360"/>
      </w:pPr>
    </w:lvl>
    <w:lvl w:ilvl="2" w:tplc="8B34B908" w:tentative="1">
      <w:start w:val="1"/>
      <w:numFmt w:val="lowerRoman"/>
      <w:lvlText w:val="%3."/>
      <w:lvlJc w:val="right"/>
      <w:pPr>
        <w:ind w:left="2160" w:hanging="180"/>
      </w:pPr>
    </w:lvl>
    <w:lvl w:ilvl="3" w:tplc="F912D644" w:tentative="1">
      <w:start w:val="1"/>
      <w:numFmt w:val="decimal"/>
      <w:lvlText w:val="%4."/>
      <w:lvlJc w:val="left"/>
      <w:pPr>
        <w:ind w:left="2880" w:hanging="360"/>
      </w:pPr>
    </w:lvl>
    <w:lvl w:ilvl="4" w:tplc="B0A4213A" w:tentative="1">
      <w:start w:val="1"/>
      <w:numFmt w:val="lowerLetter"/>
      <w:lvlText w:val="%5."/>
      <w:lvlJc w:val="left"/>
      <w:pPr>
        <w:ind w:left="3600" w:hanging="360"/>
      </w:pPr>
    </w:lvl>
    <w:lvl w:ilvl="5" w:tplc="063468F0" w:tentative="1">
      <w:start w:val="1"/>
      <w:numFmt w:val="lowerRoman"/>
      <w:lvlText w:val="%6."/>
      <w:lvlJc w:val="right"/>
      <w:pPr>
        <w:ind w:left="4320" w:hanging="180"/>
      </w:pPr>
    </w:lvl>
    <w:lvl w:ilvl="6" w:tplc="2EBAFABA" w:tentative="1">
      <w:start w:val="1"/>
      <w:numFmt w:val="decimal"/>
      <w:lvlText w:val="%7."/>
      <w:lvlJc w:val="left"/>
      <w:pPr>
        <w:ind w:left="5040" w:hanging="360"/>
      </w:pPr>
    </w:lvl>
    <w:lvl w:ilvl="7" w:tplc="6E0A0F1C" w:tentative="1">
      <w:start w:val="1"/>
      <w:numFmt w:val="lowerLetter"/>
      <w:lvlText w:val="%8."/>
      <w:lvlJc w:val="left"/>
      <w:pPr>
        <w:ind w:left="5760" w:hanging="360"/>
      </w:pPr>
    </w:lvl>
    <w:lvl w:ilvl="8" w:tplc="006C6E4A" w:tentative="1">
      <w:start w:val="1"/>
      <w:numFmt w:val="lowerRoman"/>
      <w:lvlText w:val="%9."/>
      <w:lvlJc w:val="right"/>
      <w:pPr>
        <w:ind w:left="6480" w:hanging="180"/>
      </w:pPr>
    </w:lvl>
  </w:abstractNum>
  <w:abstractNum w:abstractNumId="5" w15:restartNumberingAfterBreak="1">
    <w:nsid w:val="4DD2395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50F93570"/>
    <w:multiLevelType w:val="hybridMultilevel"/>
    <w:tmpl w:val="E4CAD86E"/>
    <w:lvl w:ilvl="0" w:tplc="1DB27644">
      <w:start w:val="1"/>
      <w:numFmt w:val="decimal"/>
      <w:lvlText w:val="%1)"/>
      <w:lvlJc w:val="left"/>
      <w:pPr>
        <w:ind w:left="720" w:hanging="360"/>
      </w:pPr>
      <w:rPr>
        <w:rFonts w:hint="default"/>
      </w:rPr>
    </w:lvl>
    <w:lvl w:ilvl="1" w:tplc="7B748BF6" w:tentative="1">
      <w:start w:val="1"/>
      <w:numFmt w:val="lowerLetter"/>
      <w:lvlText w:val="%2."/>
      <w:lvlJc w:val="left"/>
      <w:pPr>
        <w:ind w:left="1440" w:hanging="360"/>
      </w:pPr>
    </w:lvl>
    <w:lvl w:ilvl="2" w:tplc="C0DA24D4" w:tentative="1">
      <w:start w:val="1"/>
      <w:numFmt w:val="lowerRoman"/>
      <w:lvlText w:val="%3."/>
      <w:lvlJc w:val="right"/>
      <w:pPr>
        <w:ind w:left="2160" w:hanging="180"/>
      </w:pPr>
    </w:lvl>
    <w:lvl w:ilvl="3" w:tplc="5F441FB6" w:tentative="1">
      <w:start w:val="1"/>
      <w:numFmt w:val="decimal"/>
      <w:lvlText w:val="%4."/>
      <w:lvlJc w:val="left"/>
      <w:pPr>
        <w:ind w:left="2880" w:hanging="360"/>
      </w:pPr>
    </w:lvl>
    <w:lvl w:ilvl="4" w:tplc="FBC2E1B0" w:tentative="1">
      <w:start w:val="1"/>
      <w:numFmt w:val="lowerLetter"/>
      <w:lvlText w:val="%5."/>
      <w:lvlJc w:val="left"/>
      <w:pPr>
        <w:ind w:left="3600" w:hanging="360"/>
      </w:pPr>
    </w:lvl>
    <w:lvl w:ilvl="5" w:tplc="CEC8805A" w:tentative="1">
      <w:start w:val="1"/>
      <w:numFmt w:val="lowerRoman"/>
      <w:lvlText w:val="%6."/>
      <w:lvlJc w:val="right"/>
      <w:pPr>
        <w:ind w:left="4320" w:hanging="180"/>
      </w:pPr>
    </w:lvl>
    <w:lvl w:ilvl="6" w:tplc="5C743866" w:tentative="1">
      <w:start w:val="1"/>
      <w:numFmt w:val="decimal"/>
      <w:lvlText w:val="%7."/>
      <w:lvlJc w:val="left"/>
      <w:pPr>
        <w:ind w:left="5040" w:hanging="360"/>
      </w:pPr>
    </w:lvl>
    <w:lvl w:ilvl="7" w:tplc="EEBE8BBA" w:tentative="1">
      <w:start w:val="1"/>
      <w:numFmt w:val="lowerLetter"/>
      <w:lvlText w:val="%8."/>
      <w:lvlJc w:val="left"/>
      <w:pPr>
        <w:ind w:left="5760" w:hanging="360"/>
      </w:pPr>
    </w:lvl>
    <w:lvl w:ilvl="8" w:tplc="ECE013E4" w:tentative="1">
      <w:start w:val="1"/>
      <w:numFmt w:val="lowerRoman"/>
      <w:lvlText w:val="%9."/>
      <w:lvlJc w:val="right"/>
      <w:pPr>
        <w:ind w:left="6480" w:hanging="180"/>
      </w:pPr>
    </w:lvl>
  </w:abstractNum>
  <w:abstractNum w:abstractNumId="7" w15:restartNumberingAfterBreak="1">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1">
    <w:nsid w:val="7A4C7BCC"/>
    <w:multiLevelType w:val="multilevel"/>
    <w:tmpl w:val="6DD040E6"/>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7B705355"/>
    <w:multiLevelType w:val="hybridMultilevel"/>
    <w:tmpl w:val="E932D274"/>
    <w:lvl w:ilvl="0" w:tplc="A4A03212">
      <w:start w:val="1"/>
      <w:numFmt w:val="decimal"/>
      <w:lvlText w:val="%1."/>
      <w:lvlJc w:val="left"/>
      <w:pPr>
        <w:ind w:left="720" w:hanging="360"/>
      </w:pPr>
      <w:rPr>
        <w:rFonts w:hint="default"/>
      </w:rPr>
    </w:lvl>
    <w:lvl w:ilvl="1" w:tplc="43EC2EBC" w:tentative="1">
      <w:start w:val="1"/>
      <w:numFmt w:val="lowerLetter"/>
      <w:lvlText w:val="%2."/>
      <w:lvlJc w:val="left"/>
      <w:pPr>
        <w:ind w:left="1440" w:hanging="360"/>
      </w:pPr>
    </w:lvl>
    <w:lvl w:ilvl="2" w:tplc="3F4A6892" w:tentative="1">
      <w:start w:val="1"/>
      <w:numFmt w:val="lowerRoman"/>
      <w:lvlText w:val="%3."/>
      <w:lvlJc w:val="right"/>
      <w:pPr>
        <w:ind w:left="2160" w:hanging="180"/>
      </w:pPr>
    </w:lvl>
    <w:lvl w:ilvl="3" w:tplc="32649482" w:tentative="1">
      <w:start w:val="1"/>
      <w:numFmt w:val="decimal"/>
      <w:lvlText w:val="%4."/>
      <w:lvlJc w:val="left"/>
      <w:pPr>
        <w:ind w:left="2880" w:hanging="360"/>
      </w:pPr>
    </w:lvl>
    <w:lvl w:ilvl="4" w:tplc="A6D26A18" w:tentative="1">
      <w:start w:val="1"/>
      <w:numFmt w:val="lowerLetter"/>
      <w:lvlText w:val="%5."/>
      <w:lvlJc w:val="left"/>
      <w:pPr>
        <w:ind w:left="3600" w:hanging="360"/>
      </w:pPr>
    </w:lvl>
    <w:lvl w:ilvl="5" w:tplc="AE00B62A" w:tentative="1">
      <w:start w:val="1"/>
      <w:numFmt w:val="lowerRoman"/>
      <w:lvlText w:val="%6."/>
      <w:lvlJc w:val="right"/>
      <w:pPr>
        <w:ind w:left="4320" w:hanging="180"/>
      </w:pPr>
    </w:lvl>
    <w:lvl w:ilvl="6" w:tplc="EC1EC380" w:tentative="1">
      <w:start w:val="1"/>
      <w:numFmt w:val="decimal"/>
      <w:lvlText w:val="%7."/>
      <w:lvlJc w:val="left"/>
      <w:pPr>
        <w:ind w:left="5040" w:hanging="360"/>
      </w:pPr>
    </w:lvl>
    <w:lvl w:ilvl="7" w:tplc="B6906BB0" w:tentative="1">
      <w:start w:val="1"/>
      <w:numFmt w:val="lowerLetter"/>
      <w:lvlText w:val="%8."/>
      <w:lvlJc w:val="left"/>
      <w:pPr>
        <w:ind w:left="5760" w:hanging="360"/>
      </w:pPr>
    </w:lvl>
    <w:lvl w:ilvl="8" w:tplc="AC3ADDAE"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5"/>
  </w:num>
  <w:num w:numId="5">
    <w:abstractNumId w:val="9"/>
  </w:num>
  <w:num w:numId="6">
    <w:abstractNumId w:val="1"/>
  </w:num>
  <w:num w:numId="7">
    <w:abstractNumId w:val="3"/>
  </w:num>
  <w:num w:numId="8">
    <w:abstractNumId w:val="7"/>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2AA"/>
    <w:rsid w:val="000231B6"/>
    <w:rsid w:val="00057AEF"/>
    <w:rsid w:val="00086F70"/>
    <w:rsid w:val="000A04E5"/>
    <w:rsid w:val="001459BB"/>
    <w:rsid w:val="001861F2"/>
    <w:rsid w:val="001977D7"/>
    <w:rsid w:val="001B6D5A"/>
    <w:rsid w:val="002B0331"/>
    <w:rsid w:val="002E5F4C"/>
    <w:rsid w:val="00340F71"/>
    <w:rsid w:val="0034107D"/>
    <w:rsid w:val="00370B0A"/>
    <w:rsid w:val="00373715"/>
    <w:rsid w:val="00373E6B"/>
    <w:rsid w:val="003857A7"/>
    <w:rsid w:val="003A4EF2"/>
    <w:rsid w:val="003C7083"/>
    <w:rsid w:val="00433F41"/>
    <w:rsid w:val="00441DE7"/>
    <w:rsid w:val="004960E4"/>
    <w:rsid w:val="00525AFF"/>
    <w:rsid w:val="00535244"/>
    <w:rsid w:val="005406C8"/>
    <w:rsid w:val="00547222"/>
    <w:rsid w:val="005571CE"/>
    <w:rsid w:val="005A0087"/>
    <w:rsid w:val="005E5F55"/>
    <w:rsid w:val="00613BE4"/>
    <w:rsid w:val="00631A13"/>
    <w:rsid w:val="006479BC"/>
    <w:rsid w:val="00677CAC"/>
    <w:rsid w:val="00682F8A"/>
    <w:rsid w:val="00686AE8"/>
    <w:rsid w:val="006E37B9"/>
    <w:rsid w:val="006E3F8B"/>
    <w:rsid w:val="00727F8B"/>
    <w:rsid w:val="00785124"/>
    <w:rsid w:val="007A62AA"/>
    <w:rsid w:val="00834F23"/>
    <w:rsid w:val="00873D20"/>
    <w:rsid w:val="008B4B96"/>
    <w:rsid w:val="00966945"/>
    <w:rsid w:val="009A6467"/>
    <w:rsid w:val="009E3083"/>
    <w:rsid w:val="00A5060C"/>
    <w:rsid w:val="00A54D1D"/>
    <w:rsid w:val="00A61E51"/>
    <w:rsid w:val="00A94B9F"/>
    <w:rsid w:val="00AC5E45"/>
    <w:rsid w:val="00AD7E60"/>
    <w:rsid w:val="00AF2FFD"/>
    <w:rsid w:val="00B06B36"/>
    <w:rsid w:val="00B77C7F"/>
    <w:rsid w:val="00B859F6"/>
    <w:rsid w:val="00BB2284"/>
    <w:rsid w:val="00BF405B"/>
    <w:rsid w:val="00C04825"/>
    <w:rsid w:val="00C26A35"/>
    <w:rsid w:val="00C37F2E"/>
    <w:rsid w:val="00C714FF"/>
    <w:rsid w:val="00C751D9"/>
    <w:rsid w:val="00C76015"/>
    <w:rsid w:val="00C805C5"/>
    <w:rsid w:val="00CA7B1F"/>
    <w:rsid w:val="00CB3EBF"/>
    <w:rsid w:val="00D07A4B"/>
    <w:rsid w:val="00D451D9"/>
    <w:rsid w:val="00D45229"/>
    <w:rsid w:val="00DA24B8"/>
    <w:rsid w:val="00E13F34"/>
    <w:rsid w:val="00E54256"/>
    <w:rsid w:val="00E77497"/>
    <w:rsid w:val="00E958E2"/>
    <w:rsid w:val="00EC2CC2"/>
    <w:rsid w:val="00EE1822"/>
    <w:rsid w:val="00F14361"/>
    <w:rsid w:val="00F36CDB"/>
    <w:rsid w:val="00F4095A"/>
    <w:rsid w:val="00F6747D"/>
    <w:rsid w:val="00FB71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2B36"/>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basedOn w:val="Normal"/>
    <w:qFormat/>
    <w:rsid w:val="00C26A35"/>
    <w:pPr>
      <w:spacing w:after="0"/>
      <w:ind w:left="720"/>
      <w:contextualSpacing/>
      <w:jc w:val="left"/>
    </w:pPr>
    <w:rPr>
      <w:rFonts w:eastAsia="Times New Roman"/>
      <w:lang w:eastAsia="lv-LV"/>
    </w:rPr>
  </w:style>
  <w:style w:type="character" w:styleId="CommentReference">
    <w:name w:val="annotation reference"/>
    <w:basedOn w:val="DefaultParagraphFont"/>
    <w:uiPriority w:val="99"/>
    <w:semiHidden/>
    <w:unhideWhenUsed/>
    <w:rsid w:val="003C7083"/>
    <w:rPr>
      <w:sz w:val="16"/>
      <w:szCs w:val="16"/>
    </w:rPr>
  </w:style>
  <w:style w:type="paragraph" w:styleId="CommentText">
    <w:name w:val="annotation text"/>
    <w:basedOn w:val="Normal"/>
    <w:link w:val="CommentTextChar"/>
    <w:uiPriority w:val="99"/>
    <w:semiHidden/>
    <w:unhideWhenUsed/>
    <w:rsid w:val="003C7083"/>
    <w:rPr>
      <w:sz w:val="20"/>
      <w:szCs w:val="20"/>
    </w:rPr>
  </w:style>
  <w:style w:type="character" w:customStyle="1" w:styleId="CommentTextChar">
    <w:name w:val="Comment Text Char"/>
    <w:basedOn w:val="DefaultParagraphFont"/>
    <w:link w:val="CommentText"/>
    <w:uiPriority w:val="99"/>
    <w:semiHidden/>
    <w:rsid w:val="003C7083"/>
    <w:rPr>
      <w:sz w:val="20"/>
      <w:szCs w:val="20"/>
    </w:rPr>
  </w:style>
  <w:style w:type="paragraph" w:styleId="CommentSubject">
    <w:name w:val="annotation subject"/>
    <w:basedOn w:val="CommentText"/>
    <w:next w:val="CommentText"/>
    <w:link w:val="CommentSubjectChar"/>
    <w:uiPriority w:val="99"/>
    <w:semiHidden/>
    <w:unhideWhenUsed/>
    <w:rsid w:val="003C7083"/>
    <w:rPr>
      <w:b/>
      <w:bCs/>
    </w:rPr>
  </w:style>
  <w:style w:type="character" w:customStyle="1" w:styleId="CommentSubjectChar">
    <w:name w:val="Comment Subject Char"/>
    <w:basedOn w:val="CommentTextChar"/>
    <w:link w:val="CommentSubject"/>
    <w:uiPriority w:val="99"/>
    <w:semiHidden/>
    <w:rsid w:val="003C7083"/>
    <w:rPr>
      <w:b/>
      <w:bCs/>
      <w:sz w:val="20"/>
      <w:szCs w:val="20"/>
    </w:rPr>
  </w:style>
  <w:style w:type="paragraph" w:customStyle="1" w:styleId="ListParagraph1">
    <w:name w:val="List Paragraph1"/>
    <w:basedOn w:val="Normal"/>
    <w:qFormat/>
    <w:rsid w:val="00A61E51"/>
    <w:pPr>
      <w:spacing w:line="300" w:lineRule="atLeast"/>
      <w:ind w:left="720"/>
      <w:contextualSpacing/>
    </w:pPr>
    <w:rPr>
      <w:rFonts w:ascii="Calibri" w:eastAsia="Times New Roman" w:hAnsi="Calibri"/>
      <w:sz w:val="22"/>
      <w:szCs w:val="22"/>
    </w:rPr>
  </w:style>
  <w:style w:type="paragraph" w:styleId="BalloonText">
    <w:name w:val="Balloon Text"/>
    <w:basedOn w:val="Normal"/>
    <w:link w:val="BalloonTextChar"/>
    <w:uiPriority w:val="99"/>
    <w:semiHidden/>
    <w:unhideWhenUsed/>
    <w:rsid w:val="006E37B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7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25949B20554B21BFEE51B629277C73"/>
        <w:category>
          <w:name w:val="Vispārīgi"/>
          <w:gallery w:val="placeholder"/>
        </w:category>
        <w:types>
          <w:type w:val="bbPlcHdr"/>
        </w:types>
        <w:behaviors>
          <w:behavior w:val="content"/>
        </w:behaviors>
        <w:guid w:val="{133AC83E-F8B1-413B-BC08-F4B79DE533DF}"/>
      </w:docPartPr>
      <w:docPartBody>
        <w:p w:rsidR="005A0087" w:rsidRDefault="0063333D" w:rsidP="001977D7">
          <w:pPr>
            <w:pStyle w:val="6E25949B20554B21BFEE51B629277C73"/>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3A0"/>
    <w:rsid w:val="001977D7"/>
    <w:rsid w:val="002B0331"/>
    <w:rsid w:val="003A277E"/>
    <w:rsid w:val="003A3CE8"/>
    <w:rsid w:val="004543A0"/>
    <w:rsid w:val="004C42EC"/>
    <w:rsid w:val="005A0087"/>
    <w:rsid w:val="0061159F"/>
    <w:rsid w:val="0063333D"/>
    <w:rsid w:val="00736005"/>
    <w:rsid w:val="009046CE"/>
    <w:rsid w:val="00934328"/>
    <w:rsid w:val="00957575"/>
    <w:rsid w:val="00A176DA"/>
    <w:rsid w:val="00AE20B1"/>
    <w:rsid w:val="00E36B94"/>
    <w:rsid w:val="00E90F0D"/>
    <w:rsid w:val="00F43D95"/>
    <w:rsid w:val="00FC68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77D7"/>
    <w:rPr>
      <w:color w:val="808080"/>
    </w:rPr>
  </w:style>
  <w:style w:type="paragraph" w:customStyle="1" w:styleId="6E25949B20554B21BFEE51B629277C73">
    <w:name w:val="6E25949B20554B21BFEE51B629277C73"/>
    <w:rsid w:val="001977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18120-EDEB-4A66-BB7A-447E8AA2E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2474</Words>
  <Characters>1411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Porietis</dc:creator>
  <cp:lastModifiedBy>Jevgēnija Sviridenkova</cp:lastModifiedBy>
  <cp:revision>2</cp:revision>
  <cp:lastPrinted>2021-07-01T08:27:00Z</cp:lastPrinted>
  <dcterms:created xsi:type="dcterms:W3CDTF">2021-08-26T06:49:00Z</dcterms:created>
  <dcterms:modified xsi:type="dcterms:W3CDTF">2021-08-26T06:49:00Z</dcterms:modified>
</cp:coreProperties>
</file>