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C0CB" w14:textId="77777777" w:rsidR="00CD140B" w:rsidRPr="00344842" w:rsidRDefault="00CD140B" w:rsidP="00CD140B">
      <w:pPr>
        <w:spacing w:after="0"/>
        <w:jc w:val="center"/>
        <w:rPr>
          <w:rFonts w:eastAsia="Times New Roman"/>
          <w:sz w:val="28"/>
          <w:lang w:eastAsia="lv-LV"/>
        </w:rPr>
      </w:pPr>
      <w:r w:rsidRPr="00344842">
        <w:rPr>
          <w:noProof/>
        </w:rPr>
        <w:drawing>
          <wp:inline distT="0" distB="0" distL="0" distR="0" wp14:anchorId="25B63373" wp14:editId="6425B59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B59FB65" w14:textId="77777777" w:rsidR="00CD140B" w:rsidRPr="00B22B80" w:rsidRDefault="00CD140B" w:rsidP="00CD140B">
      <w:pPr>
        <w:spacing w:after="0"/>
        <w:jc w:val="right"/>
      </w:pPr>
    </w:p>
    <w:p w14:paraId="41082C8C" w14:textId="77777777" w:rsidR="00DC15B8" w:rsidRPr="00B22B80" w:rsidRDefault="00DC15B8" w:rsidP="00DC15B8">
      <w:pPr>
        <w:spacing w:after="0"/>
        <w:jc w:val="right"/>
      </w:pPr>
      <w:r w:rsidRPr="00B22B80">
        <w:t xml:space="preserve">PROJEKTS </w:t>
      </w:r>
      <w:r w:rsidRPr="00B22B80">
        <w:rPr>
          <w:noProof/>
        </w:rPr>
        <w:t>uz 11.01.2024.</w:t>
      </w:r>
    </w:p>
    <w:p w14:paraId="71A1D591" w14:textId="77777777" w:rsidR="00DC15B8" w:rsidRPr="00B22B80" w:rsidRDefault="00DC15B8" w:rsidP="00DC15B8">
      <w:pPr>
        <w:spacing w:after="0"/>
        <w:jc w:val="right"/>
        <w:rPr>
          <w:noProof/>
        </w:rPr>
      </w:pPr>
      <w:r w:rsidRPr="00B22B80">
        <w:rPr>
          <w:noProof/>
        </w:rPr>
        <w:t>vēlamais izskatīšanas datums IKSS komitejā – 07.02.2024.</w:t>
      </w:r>
    </w:p>
    <w:p w14:paraId="688B0C4A" w14:textId="77777777" w:rsidR="00DC15B8" w:rsidRPr="00B22B80" w:rsidRDefault="00DC15B8" w:rsidP="00DC15B8">
      <w:pPr>
        <w:spacing w:after="0"/>
        <w:jc w:val="right"/>
        <w:rPr>
          <w:noProof/>
        </w:rPr>
      </w:pPr>
      <w:r w:rsidRPr="00B22B80">
        <w:rPr>
          <w:noProof/>
        </w:rPr>
        <w:t>domē – 29.02.2024.</w:t>
      </w:r>
    </w:p>
    <w:p w14:paraId="39637363" w14:textId="77777777" w:rsidR="00DC15B8" w:rsidRPr="00B22B80" w:rsidRDefault="00DC15B8" w:rsidP="00DC15B8">
      <w:pPr>
        <w:spacing w:after="0"/>
        <w:jc w:val="right"/>
        <w:rPr>
          <w:noProof/>
        </w:rPr>
      </w:pPr>
      <w:r w:rsidRPr="00B22B80">
        <w:rPr>
          <w:noProof/>
        </w:rPr>
        <w:t>sagatavotājs un ziņotājs: I.Pelcmane</w:t>
      </w:r>
    </w:p>
    <w:p w14:paraId="374E6426" w14:textId="77777777" w:rsidR="00DC15B8" w:rsidRPr="00B22B80" w:rsidRDefault="00DC15B8" w:rsidP="00DC15B8">
      <w:pPr>
        <w:overflowPunct w:val="0"/>
        <w:autoSpaceDE w:val="0"/>
        <w:autoSpaceDN w:val="0"/>
        <w:adjustRightInd w:val="0"/>
        <w:spacing w:after="0"/>
        <w:jc w:val="center"/>
        <w:textAlignment w:val="baseline"/>
        <w:rPr>
          <w:rFonts w:eastAsia="Times New Roman"/>
          <w:bCs/>
          <w:sz w:val="28"/>
          <w:szCs w:val="28"/>
          <w:lang w:eastAsia="lv-LV"/>
        </w:rPr>
      </w:pPr>
    </w:p>
    <w:p w14:paraId="5564CEB5" w14:textId="77777777" w:rsidR="00DC15B8" w:rsidRPr="00B22B80" w:rsidRDefault="00DC15B8" w:rsidP="00DC15B8">
      <w:pPr>
        <w:overflowPunct w:val="0"/>
        <w:autoSpaceDE w:val="0"/>
        <w:autoSpaceDN w:val="0"/>
        <w:adjustRightInd w:val="0"/>
        <w:spacing w:after="0"/>
        <w:jc w:val="center"/>
        <w:textAlignment w:val="baseline"/>
        <w:rPr>
          <w:rFonts w:eastAsia="Times New Roman"/>
          <w:bCs/>
          <w:sz w:val="28"/>
          <w:szCs w:val="28"/>
          <w:lang w:eastAsia="lv-LV"/>
        </w:rPr>
      </w:pPr>
      <w:r w:rsidRPr="00B22B80">
        <w:rPr>
          <w:rFonts w:eastAsia="Times New Roman"/>
          <w:bCs/>
          <w:sz w:val="28"/>
          <w:szCs w:val="28"/>
          <w:lang w:eastAsia="lv-LV"/>
        </w:rPr>
        <w:t>NOLIKUMS</w:t>
      </w:r>
    </w:p>
    <w:p w14:paraId="175AEBD8" w14:textId="77777777" w:rsidR="00DC15B8" w:rsidRPr="00B22B80" w:rsidRDefault="00DC15B8" w:rsidP="00DC15B8">
      <w:pPr>
        <w:overflowPunct w:val="0"/>
        <w:autoSpaceDE w:val="0"/>
        <w:autoSpaceDN w:val="0"/>
        <w:adjustRightInd w:val="0"/>
        <w:spacing w:after="0"/>
        <w:jc w:val="center"/>
        <w:textAlignment w:val="baseline"/>
        <w:rPr>
          <w:rFonts w:eastAsia="Times New Roman"/>
          <w:lang w:eastAsia="lv-LV"/>
        </w:rPr>
      </w:pPr>
      <w:r w:rsidRPr="00B22B80">
        <w:rPr>
          <w:rFonts w:eastAsia="Times New Roman"/>
          <w:lang w:eastAsia="lv-LV"/>
        </w:rPr>
        <w:t>Ādažos, Ādažu novadā</w:t>
      </w:r>
    </w:p>
    <w:p w14:paraId="16167B23" w14:textId="77777777" w:rsidR="00DC15B8" w:rsidRPr="00B22B80" w:rsidRDefault="00DC15B8" w:rsidP="00DC15B8">
      <w:pPr>
        <w:overflowPunct w:val="0"/>
        <w:autoSpaceDE w:val="0"/>
        <w:autoSpaceDN w:val="0"/>
        <w:adjustRightInd w:val="0"/>
        <w:spacing w:after="0"/>
        <w:jc w:val="center"/>
        <w:textAlignment w:val="baseline"/>
        <w:rPr>
          <w:rFonts w:eastAsia="Times New Roman"/>
          <w:sz w:val="23"/>
          <w:szCs w:val="23"/>
          <w:lang w:eastAsia="lv-LV"/>
        </w:rPr>
      </w:pPr>
    </w:p>
    <w:p w14:paraId="4FCC9CD4" w14:textId="767E847C" w:rsidR="00011ED8" w:rsidRDefault="00DC15B8" w:rsidP="00011ED8">
      <w:r w:rsidRPr="00B22B80">
        <w:t xml:space="preserve">2024. gada </w:t>
      </w:r>
      <w:r w:rsidR="00A0063E">
        <w:t>29</w:t>
      </w:r>
      <w:r w:rsidRPr="00B22B80">
        <w:t>.</w:t>
      </w:r>
      <w:r w:rsidR="00A0063E">
        <w:t xml:space="preserve">februārī </w:t>
      </w:r>
      <w:r w:rsidRPr="00B22B80">
        <w:t xml:space="preserve"> </w:t>
      </w:r>
      <w:r w:rsidRPr="00B22B80">
        <w:tab/>
      </w:r>
      <w:r w:rsidRPr="00B22B80">
        <w:tab/>
      </w:r>
      <w:r w:rsidR="00011ED8">
        <w:tab/>
      </w:r>
      <w:r w:rsidR="00011ED8">
        <w:tab/>
      </w:r>
      <w:r w:rsidR="00011ED8">
        <w:tab/>
        <w:t xml:space="preserve">        </w:t>
      </w:r>
      <w:r w:rsidR="00011ED8" w:rsidRPr="00644768">
        <w:rPr>
          <w:bCs/>
          <w:lang w:eastAsia="lv-LV"/>
        </w:rPr>
        <w:t>Nr</w:t>
      </w:r>
      <w:r w:rsidR="00011ED8" w:rsidRPr="00011ED8">
        <w:rPr>
          <w:bCs/>
          <w:highlight w:val="yellow"/>
          <w:lang w:eastAsia="lv-LV"/>
        </w:rPr>
        <w:t>.{{DOKREGNUMURS}}</w:t>
      </w:r>
    </w:p>
    <w:p w14:paraId="222530E2" w14:textId="26135C67" w:rsidR="00CD140B" w:rsidRPr="00B22B80" w:rsidRDefault="00CD140B" w:rsidP="00011ED8">
      <w:pPr>
        <w:rPr>
          <w:rFonts w:eastAsia="Times New Roman"/>
          <w:b/>
          <w:sz w:val="28"/>
          <w:szCs w:val="28"/>
        </w:rPr>
      </w:pPr>
      <w:r w:rsidRPr="00B22B80">
        <w:rPr>
          <w:rFonts w:eastAsia="Times New Roman"/>
          <w:b/>
          <w:sz w:val="28"/>
          <w:szCs w:val="28"/>
        </w:rPr>
        <w:t>Ādažu novada pašvaldības Jaunatnes lietu konsultatīvās komisijas nolikums</w:t>
      </w:r>
    </w:p>
    <w:p w14:paraId="07D11EA7" w14:textId="77777777" w:rsidR="00CD140B" w:rsidRPr="00B22B80" w:rsidRDefault="00CD140B" w:rsidP="00CD140B">
      <w:pPr>
        <w:spacing w:after="0"/>
        <w:ind w:left="4536" w:firstLine="142"/>
        <w:jc w:val="right"/>
        <w:rPr>
          <w:i/>
          <w:sz w:val="22"/>
          <w:szCs w:val="22"/>
        </w:rPr>
      </w:pPr>
      <w:r w:rsidRPr="00B22B80">
        <w:rPr>
          <w:i/>
          <w:sz w:val="22"/>
          <w:szCs w:val="22"/>
        </w:rPr>
        <w:t xml:space="preserve">Izdots saskaņā ar Jaunatnes likuma </w:t>
      </w:r>
    </w:p>
    <w:p w14:paraId="7C91AA41" w14:textId="77777777" w:rsidR="00CD140B" w:rsidRPr="00B22B80" w:rsidRDefault="00CD140B" w:rsidP="00CD140B">
      <w:pPr>
        <w:spacing w:after="0"/>
        <w:ind w:left="4536" w:firstLine="142"/>
        <w:jc w:val="right"/>
        <w:rPr>
          <w:i/>
          <w:sz w:val="22"/>
          <w:szCs w:val="22"/>
        </w:rPr>
      </w:pPr>
      <w:r w:rsidRPr="00B22B80">
        <w:rPr>
          <w:i/>
          <w:sz w:val="22"/>
          <w:szCs w:val="22"/>
        </w:rPr>
        <w:t xml:space="preserve">5. panta otrās daļas 3. punktu un </w:t>
      </w:r>
    </w:p>
    <w:p w14:paraId="7B3D8BA7" w14:textId="77777777" w:rsidR="00CD140B" w:rsidRPr="00B22B80" w:rsidRDefault="00CD140B" w:rsidP="00CD140B">
      <w:pPr>
        <w:tabs>
          <w:tab w:val="left" w:pos="142"/>
        </w:tabs>
        <w:rPr>
          <w:b/>
        </w:rPr>
      </w:pPr>
      <w:r w:rsidRPr="00B22B80">
        <w:rPr>
          <w:i/>
          <w:sz w:val="22"/>
          <w:szCs w:val="22"/>
        </w:rPr>
        <w:t xml:space="preserve"> </w:t>
      </w:r>
      <w:r w:rsidRPr="00B22B80">
        <w:rPr>
          <w:i/>
          <w:sz w:val="22"/>
          <w:szCs w:val="22"/>
        </w:rPr>
        <w:tab/>
      </w:r>
      <w:r w:rsidRPr="00B22B80">
        <w:rPr>
          <w:i/>
          <w:sz w:val="22"/>
          <w:szCs w:val="22"/>
        </w:rPr>
        <w:tab/>
      </w:r>
      <w:r w:rsidRPr="00B22B80">
        <w:rPr>
          <w:i/>
          <w:sz w:val="22"/>
          <w:szCs w:val="22"/>
        </w:rPr>
        <w:tab/>
      </w:r>
      <w:r w:rsidRPr="00B22B80">
        <w:rPr>
          <w:i/>
          <w:sz w:val="22"/>
          <w:szCs w:val="22"/>
        </w:rPr>
        <w:tab/>
      </w:r>
      <w:r w:rsidRPr="00B22B80">
        <w:rPr>
          <w:i/>
          <w:sz w:val="22"/>
          <w:szCs w:val="22"/>
        </w:rPr>
        <w:tab/>
      </w:r>
      <w:r w:rsidRPr="00B22B80">
        <w:rPr>
          <w:i/>
          <w:sz w:val="22"/>
          <w:szCs w:val="22"/>
        </w:rPr>
        <w:tab/>
      </w:r>
      <w:r w:rsidRPr="00B22B80">
        <w:rPr>
          <w:i/>
          <w:sz w:val="22"/>
          <w:szCs w:val="22"/>
        </w:rPr>
        <w:tab/>
      </w:r>
      <w:r w:rsidRPr="00B22B80">
        <w:rPr>
          <w:i/>
          <w:sz w:val="22"/>
          <w:szCs w:val="22"/>
        </w:rPr>
        <w:tab/>
        <w:t xml:space="preserve">           Pašvaldību likuma 53. panta otro daļu </w:t>
      </w:r>
      <w:r w:rsidRPr="00B22B80">
        <w:rPr>
          <w:b/>
        </w:rPr>
        <w:t xml:space="preserve"> </w:t>
      </w:r>
    </w:p>
    <w:p w14:paraId="0323723E" w14:textId="77777777" w:rsidR="00CD140B" w:rsidRPr="00B22B80" w:rsidRDefault="00CD140B" w:rsidP="00CD140B">
      <w:pPr>
        <w:pStyle w:val="ListParagraph"/>
        <w:numPr>
          <w:ilvl w:val="0"/>
          <w:numId w:val="1"/>
        </w:numPr>
        <w:tabs>
          <w:tab w:val="left" w:pos="142"/>
        </w:tabs>
        <w:spacing w:after="120"/>
        <w:ind w:left="284" w:hanging="284"/>
        <w:contextualSpacing w:val="0"/>
        <w:jc w:val="center"/>
        <w:rPr>
          <w:b/>
        </w:rPr>
      </w:pPr>
      <w:r w:rsidRPr="00B22B80">
        <w:rPr>
          <w:b/>
        </w:rPr>
        <w:t>Vispārīgie jautājumi</w:t>
      </w:r>
    </w:p>
    <w:p w14:paraId="01E26FA5" w14:textId="77777777" w:rsidR="00CD140B" w:rsidRPr="00B22B80" w:rsidRDefault="00CD140B" w:rsidP="00CD140B">
      <w:pPr>
        <w:pStyle w:val="ListParagraph"/>
        <w:numPr>
          <w:ilvl w:val="0"/>
          <w:numId w:val="2"/>
        </w:numPr>
        <w:spacing w:after="120"/>
        <w:ind w:left="426" w:hanging="426"/>
        <w:contextualSpacing w:val="0"/>
        <w:jc w:val="both"/>
        <w:rPr>
          <w:b/>
        </w:rPr>
      </w:pPr>
      <w:r w:rsidRPr="00B22B80">
        <w:t>Šis nolikums nosaka Ādažu novada pašvaldības Jaunatnes lietu konsultatīvās komisijas (turpmāk – Komisija) darbības mērķi, uzdevumus, tiesības, struktūru un darba organizāciju.</w:t>
      </w:r>
    </w:p>
    <w:p w14:paraId="66E1CC7B" w14:textId="084CEBA4" w:rsidR="00CD140B" w:rsidRPr="00B22B80" w:rsidRDefault="00CD140B" w:rsidP="00CD140B">
      <w:pPr>
        <w:pStyle w:val="ListParagraph"/>
        <w:numPr>
          <w:ilvl w:val="0"/>
          <w:numId w:val="2"/>
        </w:numPr>
        <w:spacing w:after="120"/>
        <w:ind w:left="426" w:hanging="426"/>
        <w:contextualSpacing w:val="0"/>
        <w:jc w:val="both"/>
        <w:rPr>
          <w:b/>
        </w:rPr>
      </w:pPr>
      <w:r w:rsidRPr="00B22B80">
        <w:t>Komisija ir Ādažu novada pašvaldības</w:t>
      </w:r>
      <w:r w:rsidR="006F5DFF" w:rsidRPr="00B22B80">
        <w:t xml:space="preserve"> domes izveidota</w:t>
      </w:r>
      <w:r w:rsidRPr="00B22B80">
        <w:t xml:space="preserve"> </w:t>
      </w:r>
      <w:r w:rsidRPr="00B22B80">
        <w:rPr>
          <w:rStyle w:val="cf01"/>
          <w:rFonts w:ascii="Times New Roman" w:hAnsi="Times New Roman" w:cs="Times New Roman"/>
          <w:sz w:val="24"/>
          <w:szCs w:val="24"/>
        </w:rPr>
        <w:t xml:space="preserve">konsultatīva institūcija </w:t>
      </w:r>
      <w:r w:rsidR="006F5DFF" w:rsidRPr="00B22B80">
        <w:rPr>
          <w:rStyle w:val="cf01"/>
          <w:rFonts w:ascii="Times New Roman" w:hAnsi="Times New Roman" w:cs="Times New Roman"/>
          <w:sz w:val="24"/>
          <w:szCs w:val="24"/>
        </w:rPr>
        <w:t>pašvaldības institūciju sadarbībai un ieteikumu izvērtēšanai un priekšlikumu izstrādāšanai darbam ar jaunatni Ādažu novadā</w:t>
      </w:r>
      <w:r w:rsidRPr="00B22B80">
        <w:rPr>
          <w:rStyle w:val="cf01"/>
          <w:rFonts w:ascii="Times New Roman" w:hAnsi="Times New Roman" w:cs="Times New Roman"/>
          <w:sz w:val="24"/>
          <w:szCs w:val="24"/>
        </w:rPr>
        <w:t>.</w:t>
      </w:r>
      <w:r w:rsidRPr="00B22B80">
        <w:t xml:space="preserve"> </w:t>
      </w:r>
    </w:p>
    <w:p w14:paraId="7F6E7CB7" w14:textId="0A136205" w:rsidR="00CD140B" w:rsidRPr="00B22B80" w:rsidRDefault="00CD140B" w:rsidP="00CD140B">
      <w:pPr>
        <w:pStyle w:val="ListParagraph"/>
        <w:numPr>
          <w:ilvl w:val="0"/>
          <w:numId w:val="2"/>
        </w:numPr>
        <w:spacing w:after="120"/>
        <w:ind w:left="426" w:hanging="426"/>
        <w:contextualSpacing w:val="0"/>
        <w:jc w:val="both"/>
        <w:rPr>
          <w:b/>
        </w:rPr>
      </w:pPr>
      <w:r w:rsidRPr="00B22B80">
        <w:t xml:space="preserve">Komisija darbojas saskaņā ar šo nolikumu un </w:t>
      </w:r>
      <w:r w:rsidR="006F5DFF" w:rsidRPr="00B22B80">
        <w:t>attiecīgajiem</w:t>
      </w:r>
      <w:r w:rsidRPr="00B22B80">
        <w:t xml:space="preserve"> normatīvajiem aktiem.</w:t>
      </w:r>
    </w:p>
    <w:p w14:paraId="5B6C355B" w14:textId="172D903F" w:rsidR="008F56BF" w:rsidRPr="00B22B80" w:rsidRDefault="008F56BF" w:rsidP="008F56BF">
      <w:pPr>
        <w:pStyle w:val="ListParagraph"/>
        <w:numPr>
          <w:ilvl w:val="0"/>
          <w:numId w:val="2"/>
        </w:numPr>
        <w:spacing w:before="120" w:after="120"/>
        <w:ind w:left="425" w:hanging="425"/>
        <w:contextualSpacing w:val="0"/>
        <w:jc w:val="both"/>
        <w:rPr>
          <w:b/>
        </w:rPr>
      </w:pPr>
      <w:r w:rsidRPr="00B22B80">
        <w:t>Komisijas darbību pārrauga domes Izglītības, kultūras, sporta un sociālā komiteja.</w:t>
      </w:r>
    </w:p>
    <w:p w14:paraId="1DA51241" w14:textId="77777777" w:rsidR="00CD140B" w:rsidRPr="00B22B80" w:rsidRDefault="00CD140B" w:rsidP="00CD140B">
      <w:pPr>
        <w:pStyle w:val="ListParagraph"/>
        <w:numPr>
          <w:ilvl w:val="0"/>
          <w:numId w:val="2"/>
        </w:numPr>
        <w:spacing w:after="120"/>
        <w:ind w:left="426" w:hanging="426"/>
        <w:contextualSpacing w:val="0"/>
        <w:jc w:val="both"/>
        <w:rPr>
          <w:bCs/>
        </w:rPr>
      </w:pPr>
      <w:r w:rsidRPr="00B22B80">
        <w:rPr>
          <w:bCs/>
        </w:rPr>
        <w:t>Komisijas vārdisko sastāvu nosaka ar domes priekšsēdētāja rīkojumu.</w:t>
      </w:r>
    </w:p>
    <w:p w14:paraId="6215E481" w14:textId="26E07CDE" w:rsidR="000C42FB" w:rsidRPr="00B22B80" w:rsidRDefault="000C42FB" w:rsidP="000C42FB">
      <w:pPr>
        <w:pStyle w:val="ListParagraph"/>
        <w:numPr>
          <w:ilvl w:val="0"/>
          <w:numId w:val="2"/>
        </w:numPr>
        <w:spacing w:before="120" w:after="120"/>
        <w:ind w:left="425" w:hanging="425"/>
        <w:contextualSpacing w:val="0"/>
        <w:jc w:val="both"/>
        <w:rPr>
          <w:b/>
        </w:rPr>
      </w:pPr>
      <w:r w:rsidRPr="00B22B80">
        <w:t>Komisijas darbība tiek finansēta no pašvaldības budžeta līdzekļiem, kas tiek iekļauti Centrālās pārvaldes Izglītības un jaunatnes nodaļas kārtējā gada budžeta tāmē.</w:t>
      </w:r>
    </w:p>
    <w:p w14:paraId="60B9FAB6" w14:textId="77777777" w:rsidR="00CD140B" w:rsidRPr="00B22B80" w:rsidRDefault="00CD140B" w:rsidP="00CD140B">
      <w:pPr>
        <w:pStyle w:val="ListParagraph"/>
        <w:numPr>
          <w:ilvl w:val="0"/>
          <w:numId w:val="2"/>
        </w:numPr>
        <w:spacing w:after="120"/>
        <w:ind w:left="426" w:hanging="426"/>
        <w:contextualSpacing w:val="0"/>
        <w:jc w:val="both"/>
        <w:rPr>
          <w:bCs/>
        </w:rPr>
      </w:pPr>
      <w:r w:rsidRPr="00B22B80">
        <w:rPr>
          <w:bCs/>
        </w:rPr>
        <w:t>Darbs Komisijā netiek apmaksāts.</w:t>
      </w:r>
    </w:p>
    <w:p w14:paraId="59D413AC" w14:textId="62CDADB3" w:rsidR="00CD140B" w:rsidRPr="00B22B80" w:rsidRDefault="00CD140B" w:rsidP="00CD140B">
      <w:pPr>
        <w:pStyle w:val="ListParagraph"/>
        <w:numPr>
          <w:ilvl w:val="0"/>
          <w:numId w:val="2"/>
        </w:numPr>
        <w:spacing w:after="120"/>
        <w:ind w:left="426" w:hanging="426"/>
        <w:contextualSpacing w:val="0"/>
        <w:jc w:val="both"/>
        <w:rPr>
          <w:b/>
        </w:rPr>
      </w:pPr>
      <w:r w:rsidRPr="00B22B80">
        <w:t>Komisijas priekšlikumiem un lēmumiem ir ieteikuma raksturs un var tikt iesniegti pašvaldībai,</w:t>
      </w:r>
      <w:r w:rsidR="008F56BF" w:rsidRPr="00B22B80">
        <w:t xml:space="preserve"> </w:t>
      </w:r>
      <w:r w:rsidR="000C42FB" w:rsidRPr="00B22B80">
        <w:t xml:space="preserve">tās </w:t>
      </w:r>
      <w:r w:rsidRPr="00B22B80">
        <w:t xml:space="preserve">iestādēm </w:t>
      </w:r>
      <w:r w:rsidR="008F56BF" w:rsidRPr="00B22B80">
        <w:t>un nodibinājumiem</w:t>
      </w:r>
      <w:r w:rsidRPr="00B22B80">
        <w:t>.</w:t>
      </w:r>
    </w:p>
    <w:p w14:paraId="38039B7B" w14:textId="77777777" w:rsidR="00CD140B" w:rsidRPr="00B22B80" w:rsidRDefault="00CD140B" w:rsidP="00CD140B">
      <w:pPr>
        <w:pStyle w:val="ListParagraph"/>
        <w:numPr>
          <w:ilvl w:val="0"/>
          <w:numId w:val="2"/>
        </w:numPr>
        <w:spacing w:after="120"/>
        <w:ind w:left="426" w:hanging="426"/>
        <w:contextualSpacing w:val="0"/>
        <w:jc w:val="both"/>
        <w:rPr>
          <w:b/>
        </w:rPr>
      </w:pPr>
      <w:r w:rsidRPr="00B22B80">
        <w:t xml:space="preserve">Komisijas protokoliem un korespondencei izmanto pašvaldības veidlapu. </w:t>
      </w:r>
    </w:p>
    <w:p w14:paraId="7D708A08" w14:textId="77777777" w:rsidR="00CD140B" w:rsidRPr="00B22B80" w:rsidRDefault="00CD140B" w:rsidP="00CD140B">
      <w:pPr>
        <w:pStyle w:val="ListParagraph"/>
        <w:numPr>
          <w:ilvl w:val="0"/>
          <w:numId w:val="1"/>
        </w:numPr>
        <w:spacing w:after="120"/>
        <w:ind w:left="142" w:hanging="142"/>
        <w:contextualSpacing w:val="0"/>
        <w:jc w:val="center"/>
        <w:rPr>
          <w:b/>
        </w:rPr>
      </w:pPr>
      <w:r w:rsidRPr="00B22B80">
        <w:rPr>
          <w:b/>
        </w:rPr>
        <w:t>Komisijas uzdevumi un tiesības</w:t>
      </w:r>
    </w:p>
    <w:p w14:paraId="616C58A1" w14:textId="77777777" w:rsidR="00CD140B" w:rsidRPr="00B22B80" w:rsidRDefault="00CD140B" w:rsidP="00CD140B">
      <w:pPr>
        <w:pStyle w:val="ListParagraph"/>
        <w:numPr>
          <w:ilvl w:val="0"/>
          <w:numId w:val="2"/>
        </w:numPr>
        <w:spacing w:after="120"/>
        <w:ind w:left="426" w:hanging="426"/>
        <w:contextualSpacing w:val="0"/>
        <w:jc w:val="both"/>
        <w:rPr>
          <w:b/>
        </w:rPr>
      </w:pPr>
      <w:r w:rsidRPr="00B22B80">
        <w:t>Komisijai ir šādi uzdevumi:</w:t>
      </w:r>
    </w:p>
    <w:p w14:paraId="1490FEEB"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izvērtēt jaunatnes politikas īstenošanu Ādažu novadā un sniegt priekšlikumus jaunatnes politikas plānošanas dokumentu pilnveidošanai;</w:t>
      </w:r>
    </w:p>
    <w:p w14:paraId="19903C77"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apkopot un analizēt informāciju par jauniešu problēmām, vajadzībām un interesēm;</w:t>
      </w:r>
    </w:p>
    <w:p w14:paraId="4D6C5275" w14:textId="77777777" w:rsidR="00CD140B" w:rsidRPr="00B22B80" w:rsidRDefault="00CD140B" w:rsidP="00CD140B">
      <w:pPr>
        <w:pStyle w:val="ListParagraph"/>
        <w:numPr>
          <w:ilvl w:val="1"/>
          <w:numId w:val="2"/>
        </w:numPr>
        <w:spacing w:before="120" w:line="259" w:lineRule="auto"/>
        <w:ind w:left="992" w:hanging="567"/>
        <w:contextualSpacing w:val="0"/>
        <w:jc w:val="both"/>
      </w:pPr>
      <w:r w:rsidRPr="00B22B80">
        <w:t xml:space="preserve">sniegt pašvaldības iestādēm, biedrībām un organizācijām ieteikumus jaunatnes politikas efektīvai īstenošanai, tajā skaitā par pasākumiem, projektiem un </w:t>
      </w:r>
      <w:r w:rsidRPr="00B22B80">
        <w:lastRenderedPageBreak/>
        <w:t>programmām jaunatnes mērķa grupām to iesaistīšanai politiskās, ekonomiskās, sociālās un kultūras dzīves aktivitātēs;</w:t>
      </w:r>
    </w:p>
    <w:p w14:paraId="4FA4394E"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nodrošināt pašvaldības institūciju sadarbību jautājumos, kas attiecas uz jauniešiem;</w:t>
      </w:r>
    </w:p>
    <w:p w14:paraId="6A374744"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izplatīt informāciju par jauniešiem piedāvātajām iespējām;</w:t>
      </w:r>
    </w:p>
    <w:p w14:paraId="65B5E50D" w14:textId="37F26C2F" w:rsidR="00CD140B" w:rsidRPr="00B22B80" w:rsidRDefault="00CD140B" w:rsidP="00CD140B">
      <w:pPr>
        <w:pStyle w:val="ListParagraph"/>
        <w:numPr>
          <w:ilvl w:val="1"/>
          <w:numId w:val="2"/>
        </w:numPr>
        <w:spacing w:before="120" w:after="120" w:line="259" w:lineRule="auto"/>
        <w:ind w:left="992" w:hanging="567"/>
        <w:contextualSpacing w:val="0"/>
        <w:jc w:val="both"/>
        <w:rPr>
          <w:b/>
        </w:rPr>
      </w:pPr>
      <w:r w:rsidRPr="00B22B80">
        <w:t>veicināt jauniešu sadarbību ar pašvaldību un citām institūcijām un organizācijām</w:t>
      </w:r>
      <w:r w:rsidR="008F56BF" w:rsidRPr="00B22B80">
        <w:t>.</w:t>
      </w:r>
    </w:p>
    <w:p w14:paraId="0E210C67" w14:textId="77777777" w:rsidR="00CD140B" w:rsidRPr="00B22B80" w:rsidRDefault="00CD140B" w:rsidP="00CD140B">
      <w:pPr>
        <w:pStyle w:val="ListParagraph"/>
        <w:numPr>
          <w:ilvl w:val="0"/>
          <w:numId w:val="2"/>
        </w:numPr>
        <w:spacing w:before="120" w:after="120"/>
        <w:ind w:left="426" w:hanging="420"/>
        <w:contextualSpacing w:val="0"/>
        <w:jc w:val="both"/>
        <w:rPr>
          <w:b/>
        </w:rPr>
      </w:pPr>
      <w:r w:rsidRPr="00B22B80">
        <w:t>Komisijai ir šādas tiesības:</w:t>
      </w:r>
    </w:p>
    <w:p w14:paraId="24E57561" w14:textId="72AFC3D6"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saņemt Komisijas uzdevumu izpildei nepieciešamo informāciju no pašvaldības iestādēm;</w:t>
      </w:r>
    </w:p>
    <w:p w14:paraId="11D4D94A"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uzaicināt piedalīties Komisijas sēdēs ar padomdevēja tiesībām citas personas (jomas pārstāvjus un speciālistus, nevalstiskās organizācijas, u.c.) darbam ar jaunatni saistītos jautājumos. Uzaicinātām personām nav balsstiesību un to sniegtajai informācijai ir rekomendējošs raksturs;</w:t>
      </w:r>
    </w:p>
    <w:p w14:paraId="2DA0B790" w14:textId="046E760C" w:rsidR="00CD140B" w:rsidRPr="00B22B80" w:rsidRDefault="008F56BF" w:rsidP="00CD140B">
      <w:pPr>
        <w:pStyle w:val="ListParagraph"/>
        <w:numPr>
          <w:ilvl w:val="1"/>
          <w:numId w:val="2"/>
        </w:numPr>
        <w:spacing w:before="120" w:line="259" w:lineRule="auto"/>
        <w:ind w:left="992" w:hanging="567"/>
        <w:contextualSpacing w:val="0"/>
        <w:jc w:val="both"/>
        <w:rPr>
          <w:b/>
        </w:rPr>
      </w:pPr>
      <w:r w:rsidRPr="00B22B80">
        <w:t>iesniegt priekšlikumus dome</w:t>
      </w:r>
      <w:r w:rsidR="000C42FB" w:rsidRPr="00B22B80">
        <w:t>s komitejām un domei</w:t>
      </w:r>
      <w:r w:rsidR="00CD140B" w:rsidRPr="00B22B80">
        <w:t>;</w:t>
      </w:r>
    </w:p>
    <w:p w14:paraId="09AED453" w14:textId="34F7ACD0"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izvērtēt Komisijas lēmumu izpildes gaitu un rezultātus</w:t>
      </w:r>
      <w:r w:rsidR="008F56BF" w:rsidRPr="00B22B80">
        <w:t>;</w:t>
      </w:r>
    </w:p>
    <w:p w14:paraId="470DC0CE" w14:textId="319F9753" w:rsidR="008F56BF" w:rsidRPr="00B22B80" w:rsidRDefault="008F56BF" w:rsidP="008F56BF">
      <w:pPr>
        <w:pStyle w:val="ListParagraph"/>
        <w:numPr>
          <w:ilvl w:val="1"/>
          <w:numId w:val="2"/>
        </w:numPr>
        <w:spacing w:before="120" w:after="120" w:line="259" w:lineRule="auto"/>
        <w:ind w:left="992" w:hanging="567"/>
        <w:contextualSpacing w:val="0"/>
        <w:jc w:val="both"/>
        <w:rPr>
          <w:b/>
        </w:rPr>
      </w:pPr>
      <w:r w:rsidRPr="00B22B80">
        <w:t>izmantot pašvaldības telpas pašvaldības noteiktā kārtībā.</w:t>
      </w:r>
    </w:p>
    <w:p w14:paraId="131432CC" w14:textId="77777777" w:rsidR="00CD140B" w:rsidRPr="00B22B80" w:rsidRDefault="00CD140B" w:rsidP="005F417E">
      <w:pPr>
        <w:pStyle w:val="ListParagraph"/>
        <w:numPr>
          <w:ilvl w:val="0"/>
          <w:numId w:val="1"/>
        </w:numPr>
        <w:tabs>
          <w:tab w:val="left" w:pos="142"/>
        </w:tabs>
        <w:spacing w:after="120"/>
        <w:ind w:left="284" w:hanging="284"/>
        <w:contextualSpacing w:val="0"/>
        <w:jc w:val="center"/>
        <w:rPr>
          <w:b/>
        </w:rPr>
      </w:pPr>
      <w:r w:rsidRPr="00B22B80">
        <w:rPr>
          <w:b/>
        </w:rPr>
        <w:t xml:space="preserve">Komisijas organizatoriskā struktūra </w:t>
      </w:r>
    </w:p>
    <w:p w14:paraId="08ED69E5" w14:textId="77777777" w:rsidR="00CD140B" w:rsidRPr="00B22B80" w:rsidRDefault="00CD140B" w:rsidP="00CD140B">
      <w:pPr>
        <w:pStyle w:val="ListParagraph"/>
        <w:numPr>
          <w:ilvl w:val="0"/>
          <w:numId w:val="2"/>
        </w:numPr>
        <w:spacing w:after="120"/>
        <w:ind w:left="426" w:hanging="420"/>
        <w:contextualSpacing w:val="0"/>
        <w:jc w:val="both"/>
        <w:rPr>
          <w:bCs/>
        </w:rPr>
      </w:pPr>
      <w:r w:rsidRPr="00B22B80">
        <w:rPr>
          <w:bCs/>
        </w:rPr>
        <w:t>Komisija sastāv no 6 (sešiem) Komisijas locekļiem.</w:t>
      </w:r>
    </w:p>
    <w:p w14:paraId="170428FF" w14:textId="77777777" w:rsidR="00CD140B" w:rsidRPr="00B22B80" w:rsidRDefault="00CD140B" w:rsidP="00CD140B">
      <w:pPr>
        <w:pStyle w:val="ListParagraph"/>
        <w:numPr>
          <w:ilvl w:val="0"/>
          <w:numId w:val="2"/>
        </w:numPr>
        <w:spacing w:after="120"/>
        <w:ind w:left="426" w:hanging="420"/>
        <w:contextualSpacing w:val="0"/>
        <w:jc w:val="both"/>
        <w:rPr>
          <w:bCs/>
        </w:rPr>
      </w:pPr>
      <w:r w:rsidRPr="00B22B80">
        <w:rPr>
          <w:bCs/>
        </w:rPr>
        <w:t xml:space="preserve">Komisijas sastāvā ir: </w:t>
      </w:r>
    </w:p>
    <w:p w14:paraId="15A577F6" w14:textId="5A776FB8" w:rsidR="00CD140B" w:rsidRPr="00B22B80" w:rsidRDefault="008F56BF" w:rsidP="008F56BF">
      <w:pPr>
        <w:pStyle w:val="ListParagraph"/>
        <w:numPr>
          <w:ilvl w:val="1"/>
          <w:numId w:val="2"/>
        </w:numPr>
        <w:spacing w:after="120"/>
        <w:ind w:left="993" w:hanging="567"/>
        <w:contextualSpacing w:val="0"/>
        <w:jc w:val="both"/>
        <w:rPr>
          <w:bCs/>
        </w:rPr>
      </w:pPr>
      <w:r w:rsidRPr="00B22B80">
        <w:rPr>
          <w:bCs/>
        </w:rPr>
        <w:t>p</w:t>
      </w:r>
      <w:r w:rsidR="00CD140B" w:rsidRPr="00B22B80">
        <w:rPr>
          <w:bCs/>
        </w:rPr>
        <w:t>ašvaldības jaunatnes lietu speciālis</w:t>
      </w:r>
      <w:r w:rsidRPr="00B22B80">
        <w:rPr>
          <w:bCs/>
        </w:rPr>
        <w:t>ts</w:t>
      </w:r>
      <w:r w:rsidR="00CD140B" w:rsidRPr="00B22B80">
        <w:rPr>
          <w:bCs/>
        </w:rPr>
        <w:t>;</w:t>
      </w:r>
    </w:p>
    <w:p w14:paraId="07F7CA20" w14:textId="58288779" w:rsidR="00CD140B" w:rsidRPr="00B22B80" w:rsidRDefault="008F56BF" w:rsidP="008F56BF">
      <w:pPr>
        <w:pStyle w:val="ListParagraph"/>
        <w:numPr>
          <w:ilvl w:val="1"/>
          <w:numId w:val="2"/>
        </w:numPr>
        <w:spacing w:after="120"/>
        <w:ind w:left="993" w:hanging="567"/>
        <w:contextualSpacing w:val="0"/>
        <w:jc w:val="both"/>
        <w:rPr>
          <w:bCs/>
        </w:rPr>
      </w:pPr>
      <w:r w:rsidRPr="00B22B80">
        <w:rPr>
          <w:bCs/>
        </w:rPr>
        <w:t>p</w:t>
      </w:r>
      <w:r w:rsidR="00CD140B" w:rsidRPr="00B22B80">
        <w:rPr>
          <w:bCs/>
        </w:rPr>
        <w:t>ašvaldības jaunatnes darbinie</w:t>
      </w:r>
      <w:r w:rsidRPr="00B22B80">
        <w:rPr>
          <w:bCs/>
        </w:rPr>
        <w:t>ks</w:t>
      </w:r>
      <w:r w:rsidR="00CD140B" w:rsidRPr="00B22B80">
        <w:rPr>
          <w:bCs/>
        </w:rPr>
        <w:t>;</w:t>
      </w:r>
    </w:p>
    <w:p w14:paraId="4811D21D" w14:textId="15116BAF" w:rsidR="00CD140B" w:rsidRPr="00AE7A9E" w:rsidRDefault="00CD140B" w:rsidP="008F56BF">
      <w:pPr>
        <w:pStyle w:val="ListParagraph"/>
        <w:numPr>
          <w:ilvl w:val="1"/>
          <w:numId w:val="2"/>
        </w:numPr>
        <w:spacing w:after="120"/>
        <w:ind w:left="993" w:hanging="567"/>
        <w:contextualSpacing w:val="0"/>
        <w:jc w:val="both"/>
        <w:rPr>
          <w:bCs/>
        </w:rPr>
      </w:pPr>
      <w:r w:rsidRPr="00AE7A9E">
        <w:rPr>
          <w:bCs/>
        </w:rPr>
        <w:t>Ādažu vidusskolas</w:t>
      </w:r>
      <w:r w:rsidR="008F56BF" w:rsidRPr="00AE7A9E">
        <w:rPr>
          <w:bCs/>
        </w:rPr>
        <w:t xml:space="preserve"> pa</w:t>
      </w:r>
      <w:r w:rsidR="00AE7A9E" w:rsidRPr="00AE7A9E">
        <w:rPr>
          <w:bCs/>
        </w:rPr>
        <w:t>rlamenta</w:t>
      </w:r>
      <w:r w:rsidR="008F56BF" w:rsidRPr="00AE7A9E">
        <w:rPr>
          <w:bCs/>
        </w:rPr>
        <w:t xml:space="preserve"> </w:t>
      </w:r>
      <w:r w:rsidR="00AE7A9E" w:rsidRPr="00AE7A9E">
        <w:rPr>
          <w:bCs/>
        </w:rPr>
        <w:t>koordinators</w:t>
      </w:r>
      <w:r w:rsidR="008F56BF" w:rsidRPr="00AE7A9E">
        <w:rPr>
          <w:bCs/>
        </w:rPr>
        <w:t>;</w:t>
      </w:r>
    </w:p>
    <w:p w14:paraId="6EB68DFB" w14:textId="670A7CEA" w:rsidR="00CD140B" w:rsidRPr="006D1515" w:rsidRDefault="00030D57" w:rsidP="008F56BF">
      <w:pPr>
        <w:pStyle w:val="ListParagraph"/>
        <w:numPr>
          <w:ilvl w:val="1"/>
          <w:numId w:val="2"/>
        </w:numPr>
        <w:spacing w:after="120"/>
        <w:ind w:left="993" w:hanging="567"/>
        <w:contextualSpacing w:val="0"/>
        <w:jc w:val="both"/>
        <w:rPr>
          <w:bCs/>
        </w:rPr>
      </w:pPr>
      <w:r w:rsidRPr="006D1515">
        <w:rPr>
          <w:bCs/>
        </w:rPr>
        <w:t xml:space="preserve">Ādažu </w:t>
      </w:r>
      <w:r w:rsidR="00CD140B" w:rsidRPr="006D1515">
        <w:rPr>
          <w:bCs/>
        </w:rPr>
        <w:t xml:space="preserve">Brīvā Valdorfa skolas </w:t>
      </w:r>
      <w:r w:rsidR="008F56BF" w:rsidRPr="006D1515">
        <w:rPr>
          <w:bCs/>
        </w:rPr>
        <w:t>pa</w:t>
      </w:r>
      <w:r w:rsidR="006870F4" w:rsidRPr="006D1515">
        <w:rPr>
          <w:bCs/>
        </w:rPr>
        <w:t>rlamenta</w:t>
      </w:r>
      <w:r w:rsidRPr="006D1515">
        <w:rPr>
          <w:bCs/>
        </w:rPr>
        <w:t xml:space="preserve"> mentors</w:t>
      </w:r>
      <w:r w:rsidR="00CD140B" w:rsidRPr="006D1515">
        <w:rPr>
          <w:bCs/>
        </w:rPr>
        <w:t>;</w:t>
      </w:r>
    </w:p>
    <w:p w14:paraId="6C71C227" w14:textId="588CF982" w:rsidR="00CD140B" w:rsidRPr="00B22B80" w:rsidRDefault="00CD140B" w:rsidP="008F56BF">
      <w:pPr>
        <w:pStyle w:val="ListParagraph"/>
        <w:numPr>
          <w:ilvl w:val="1"/>
          <w:numId w:val="2"/>
        </w:numPr>
        <w:spacing w:after="120"/>
        <w:ind w:left="993" w:hanging="567"/>
        <w:contextualSpacing w:val="0"/>
        <w:jc w:val="both"/>
        <w:rPr>
          <w:bCs/>
        </w:rPr>
      </w:pPr>
      <w:r w:rsidRPr="00B22B80">
        <w:rPr>
          <w:bCs/>
        </w:rPr>
        <w:t xml:space="preserve">Carnikavas pamatskolas </w:t>
      </w:r>
      <w:r w:rsidR="008F56BF" w:rsidRPr="00B22B80">
        <w:rPr>
          <w:bCs/>
        </w:rPr>
        <w:t xml:space="preserve">pašpārvaldes </w:t>
      </w:r>
      <w:r w:rsidR="006F691E">
        <w:rPr>
          <w:bCs/>
        </w:rPr>
        <w:t>konsultants</w:t>
      </w:r>
      <w:r w:rsidRPr="00B22B80">
        <w:rPr>
          <w:bCs/>
        </w:rPr>
        <w:t>;</w:t>
      </w:r>
    </w:p>
    <w:p w14:paraId="633248A1" w14:textId="23ABD1B0" w:rsidR="00CD140B" w:rsidRPr="00B22B80" w:rsidRDefault="008F56BF" w:rsidP="008F56BF">
      <w:pPr>
        <w:pStyle w:val="ListParagraph"/>
        <w:numPr>
          <w:ilvl w:val="1"/>
          <w:numId w:val="2"/>
        </w:numPr>
        <w:spacing w:after="120"/>
        <w:ind w:left="993" w:hanging="567"/>
        <w:contextualSpacing w:val="0"/>
        <w:jc w:val="both"/>
        <w:rPr>
          <w:bCs/>
        </w:rPr>
      </w:pPr>
      <w:r w:rsidRPr="00B22B80">
        <w:rPr>
          <w:bCs/>
        </w:rPr>
        <w:t>Jauniešu domes priekšsēdētājs.</w:t>
      </w:r>
      <w:r w:rsidR="00CD140B" w:rsidRPr="00B22B80">
        <w:rPr>
          <w:rFonts w:eastAsiaTheme="minorHAnsi"/>
        </w:rPr>
        <w:t xml:space="preserve"> </w:t>
      </w:r>
    </w:p>
    <w:p w14:paraId="1B192913" w14:textId="67218561" w:rsidR="00CD140B" w:rsidRPr="00B22B80" w:rsidRDefault="00CD140B" w:rsidP="000C42FB">
      <w:pPr>
        <w:pStyle w:val="ListParagraph"/>
        <w:numPr>
          <w:ilvl w:val="0"/>
          <w:numId w:val="2"/>
        </w:numPr>
        <w:spacing w:after="120"/>
        <w:ind w:left="426" w:hanging="426"/>
        <w:contextualSpacing w:val="0"/>
        <w:jc w:val="both"/>
        <w:rPr>
          <w:bCs/>
        </w:rPr>
      </w:pPr>
      <w:r w:rsidRPr="00B22B80">
        <w:rPr>
          <w:bCs/>
        </w:rPr>
        <w:t>Komisija, atklāti balsojot, no sava vidus ievēl Komisijas priekšsēdētāju</w:t>
      </w:r>
      <w:r w:rsidR="000C42FB" w:rsidRPr="00B22B80">
        <w:rPr>
          <w:bCs/>
        </w:rPr>
        <w:t xml:space="preserve"> un</w:t>
      </w:r>
      <w:r w:rsidRPr="00B22B80">
        <w:rPr>
          <w:bCs/>
        </w:rPr>
        <w:t xml:space="preserve"> priekšsēdētāja vietnieku.</w:t>
      </w:r>
    </w:p>
    <w:p w14:paraId="7A761B12" w14:textId="1FA73CA6" w:rsidR="000C42FB" w:rsidRPr="00B22B80" w:rsidRDefault="000C42FB" w:rsidP="000C42FB">
      <w:pPr>
        <w:pStyle w:val="ListParagraph"/>
        <w:numPr>
          <w:ilvl w:val="0"/>
          <w:numId w:val="2"/>
        </w:numPr>
        <w:spacing w:after="120"/>
        <w:ind w:left="426" w:hanging="426"/>
        <w:contextualSpacing w:val="0"/>
        <w:jc w:val="both"/>
        <w:rPr>
          <w:bCs/>
        </w:rPr>
      </w:pPr>
      <w:r w:rsidRPr="00B22B80">
        <w:rPr>
          <w:bCs/>
        </w:rPr>
        <w:t xml:space="preserve">Komisijas sēžu protokolētājs ir pašvaldības jaunatnes darbinieks, kas cita starpā nodrošina Komisijas publicējamās informācijas izvietošanu un aktualizēšanu pašvaldības tīmekļvietnē </w:t>
      </w:r>
      <w:hyperlink r:id="rId7" w:history="1">
        <w:r w:rsidRPr="00B22B80">
          <w:rPr>
            <w:rStyle w:val="Hyperlink"/>
            <w:bCs/>
            <w:color w:val="auto"/>
          </w:rPr>
          <w:t>www.adazunovads.lv</w:t>
        </w:r>
      </w:hyperlink>
      <w:r w:rsidRPr="00B22B80">
        <w:rPr>
          <w:bCs/>
        </w:rPr>
        <w:t xml:space="preserve">. </w:t>
      </w:r>
    </w:p>
    <w:p w14:paraId="2F49768D" w14:textId="77777777" w:rsidR="00CD140B" w:rsidRPr="00B22B80" w:rsidRDefault="00CD140B" w:rsidP="000C42FB">
      <w:pPr>
        <w:pStyle w:val="ListParagraph"/>
        <w:numPr>
          <w:ilvl w:val="0"/>
          <w:numId w:val="2"/>
        </w:numPr>
        <w:spacing w:after="120"/>
        <w:ind w:left="426" w:hanging="426"/>
        <w:contextualSpacing w:val="0"/>
        <w:jc w:val="both"/>
        <w:rPr>
          <w:b/>
        </w:rPr>
      </w:pPr>
      <w:r w:rsidRPr="00B22B80">
        <w:t>Komisiju vada un tās darbu organizē Komisijas priekšsēdētājs, bet viņa prombūtnes laikā – priekšsēdētāja vietnieks.</w:t>
      </w:r>
    </w:p>
    <w:p w14:paraId="3055BEFD" w14:textId="77777777" w:rsidR="00CD140B" w:rsidRPr="00B22B80" w:rsidRDefault="00CD140B" w:rsidP="000C42FB">
      <w:pPr>
        <w:pStyle w:val="ListParagraph"/>
        <w:numPr>
          <w:ilvl w:val="0"/>
          <w:numId w:val="2"/>
        </w:numPr>
        <w:spacing w:after="120"/>
        <w:ind w:left="426" w:hanging="426"/>
        <w:contextualSpacing w:val="0"/>
        <w:jc w:val="both"/>
        <w:rPr>
          <w:b/>
        </w:rPr>
      </w:pPr>
      <w:r w:rsidRPr="00B22B80">
        <w:t>Komisijas priekšsēdētājs:</w:t>
      </w:r>
    </w:p>
    <w:p w14:paraId="648CB97D" w14:textId="77777777" w:rsidR="00CD140B" w:rsidRPr="00B22B80" w:rsidRDefault="00CD140B" w:rsidP="000C42FB">
      <w:pPr>
        <w:pStyle w:val="ListParagraph"/>
        <w:numPr>
          <w:ilvl w:val="1"/>
          <w:numId w:val="2"/>
        </w:numPr>
        <w:spacing w:after="120"/>
        <w:ind w:left="993" w:hanging="567"/>
        <w:contextualSpacing w:val="0"/>
        <w:jc w:val="both"/>
        <w:rPr>
          <w:b/>
        </w:rPr>
      </w:pPr>
      <w:r w:rsidRPr="00B22B80">
        <w:t>plāno un organizē Komisijas darbu;</w:t>
      </w:r>
    </w:p>
    <w:p w14:paraId="05B4D87D" w14:textId="6DCE61A4" w:rsidR="00CD140B" w:rsidRPr="00B22B80" w:rsidRDefault="00CD140B" w:rsidP="000C42FB">
      <w:pPr>
        <w:pStyle w:val="ListParagraph"/>
        <w:numPr>
          <w:ilvl w:val="1"/>
          <w:numId w:val="2"/>
        </w:numPr>
        <w:spacing w:after="120"/>
        <w:ind w:left="993" w:hanging="567"/>
        <w:contextualSpacing w:val="0"/>
        <w:jc w:val="both"/>
        <w:rPr>
          <w:b/>
        </w:rPr>
      </w:pPr>
      <w:r w:rsidRPr="00B22B80">
        <w:t>sasauc un vada Komisijas sēdes, apstiprina darba kārtību;</w:t>
      </w:r>
    </w:p>
    <w:p w14:paraId="05E1F25B" w14:textId="2184CE1F" w:rsidR="00CD140B" w:rsidRPr="00B22B80" w:rsidRDefault="00CD140B" w:rsidP="000C42FB">
      <w:pPr>
        <w:pStyle w:val="ListParagraph"/>
        <w:numPr>
          <w:ilvl w:val="1"/>
          <w:numId w:val="2"/>
        </w:numPr>
        <w:spacing w:after="120"/>
        <w:ind w:left="993" w:hanging="567"/>
        <w:contextualSpacing w:val="0"/>
        <w:jc w:val="both"/>
        <w:rPr>
          <w:b/>
        </w:rPr>
      </w:pPr>
      <w:r w:rsidRPr="00B22B80">
        <w:t>paraksta Komisijas sēžu protokolus, lēmumus</w:t>
      </w:r>
      <w:r w:rsidR="000C42FB" w:rsidRPr="00B22B80">
        <w:t>,</w:t>
      </w:r>
      <w:r w:rsidRPr="00B22B80">
        <w:t xml:space="preserve"> u.c. Komisijas sagatavotus dokumentus; </w:t>
      </w:r>
    </w:p>
    <w:p w14:paraId="481B305A" w14:textId="59A1DE2C" w:rsidR="00CD140B" w:rsidRPr="00B22B80" w:rsidRDefault="00CD140B" w:rsidP="000C42FB">
      <w:pPr>
        <w:pStyle w:val="ListParagraph"/>
        <w:numPr>
          <w:ilvl w:val="1"/>
          <w:numId w:val="2"/>
        </w:numPr>
        <w:spacing w:after="120"/>
        <w:ind w:left="993" w:hanging="567"/>
        <w:contextualSpacing w:val="0"/>
        <w:jc w:val="both"/>
        <w:rPr>
          <w:rFonts w:eastAsiaTheme="minorHAnsi"/>
        </w:rPr>
      </w:pPr>
      <w:r w:rsidRPr="00B22B80">
        <w:rPr>
          <w:rFonts w:eastAsiaTheme="minorHAnsi"/>
        </w:rPr>
        <w:t>organizē Komisijas dokumentu noformēšanu, glabāšanu un nodošanu arhīvā;</w:t>
      </w:r>
    </w:p>
    <w:p w14:paraId="561AB560" w14:textId="1F1A93B9" w:rsidR="00CD140B" w:rsidRPr="00B22B80" w:rsidRDefault="00CD140B" w:rsidP="000C42FB">
      <w:pPr>
        <w:pStyle w:val="ListParagraph"/>
        <w:numPr>
          <w:ilvl w:val="1"/>
          <w:numId w:val="2"/>
        </w:numPr>
        <w:spacing w:after="120"/>
        <w:ind w:left="993" w:hanging="567"/>
        <w:contextualSpacing w:val="0"/>
        <w:jc w:val="both"/>
        <w:rPr>
          <w:rFonts w:eastAsiaTheme="minorHAnsi"/>
        </w:rPr>
      </w:pPr>
      <w:r w:rsidRPr="00B22B80">
        <w:rPr>
          <w:rFonts w:eastAsiaTheme="minorHAnsi"/>
        </w:rPr>
        <w:t xml:space="preserve">ir Komisijas kontaktpersona </w:t>
      </w:r>
      <w:r w:rsidR="000C42FB" w:rsidRPr="00B22B80">
        <w:rPr>
          <w:rFonts w:eastAsiaTheme="minorHAnsi"/>
        </w:rPr>
        <w:t>Komisijas darba jautājumos</w:t>
      </w:r>
      <w:r w:rsidRPr="00B22B80">
        <w:rPr>
          <w:rFonts w:eastAsiaTheme="minorHAnsi"/>
        </w:rPr>
        <w:t>;</w:t>
      </w:r>
    </w:p>
    <w:p w14:paraId="59AD050E" w14:textId="3A02A9F5" w:rsidR="00CD140B" w:rsidRPr="00B22B80" w:rsidRDefault="00CD140B" w:rsidP="000C42FB">
      <w:pPr>
        <w:pStyle w:val="ListParagraph"/>
        <w:numPr>
          <w:ilvl w:val="1"/>
          <w:numId w:val="2"/>
        </w:numPr>
        <w:spacing w:after="120"/>
        <w:ind w:left="993" w:hanging="567"/>
        <w:contextualSpacing w:val="0"/>
        <w:jc w:val="both"/>
        <w:rPr>
          <w:rFonts w:eastAsiaTheme="minorHAnsi"/>
        </w:rPr>
      </w:pPr>
      <w:r w:rsidRPr="00B22B80">
        <w:rPr>
          <w:rFonts w:eastAsiaTheme="minorHAnsi"/>
        </w:rPr>
        <w:lastRenderedPageBreak/>
        <w:t>iesniedz priekšlikumus, paskaidrojumus un ieteikumu</w:t>
      </w:r>
      <w:r w:rsidR="000C42FB" w:rsidRPr="00B22B80">
        <w:rPr>
          <w:rFonts w:eastAsiaTheme="minorHAnsi"/>
        </w:rPr>
        <w:t>s</w:t>
      </w:r>
      <w:r w:rsidRPr="00B22B80">
        <w:rPr>
          <w:rFonts w:eastAsiaTheme="minorHAnsi"/>
        </w:rPr>
        <w:t xml:space="preserve"> Komisijas atbildības jomās, kā arī ne retāk kā reizi gadā sniedz pārskatu par Komisijas darbu  Izglītības, kultūras, sporta un sociālai komitejai. </w:t>
      </w:r>
    </w:p>
    <w:p w14:paraId="5DA7DA7A" w14:textId="77777777" w:rsidR="00CD140B" w:rsidRPr="00B22B80" w:rsidRDefault="00CD140B" w:rsidP="000C42FB">
      <w:pPr>
        <w:pStyle w:val="ListParagraph"/>
        <w:numPr>
          <w:ilvl w:val="0"/>
          <w:numId w:val="2"/>
        </w:numPr>
        <w:spacing w:after="120"/>
        <w:ind w:left="426" w:hanging="426"/>
        <w:contextualSpacing w:val="0"/>
        <w:jc w:val="both"/>
        <w:rPr>
          <w:b/>
        </w:rPr>
      </w:pPr>
      <w:r w:rsidRPr="00B22B80">
        <w:t>Komisijas locekļi:</w:t>
      </w:r>
    </w:p>
    <w:p w14:paraId="0B7565D9"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informē Komisiju par viņu pārstāvētās iestādes, struktūrvienības vai organizācijas viedokli Komisijas sēdē izskatāmajā jautājumā;</w:t>
      </w:r>
    </w:p>
    <w:p w14:paraId="31D0DC0C"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informē viņu pārstāvēto iestādi, struktūrvienību vai organizāciju par Komisijas sagatavotajiem dokumentiem un lēmumu projektiem;</w:t>
      </w:r>
    </w:p>
    <w:p w14:paraId="34968443"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piedalās Komisijas darbā un pilda uzdotos uzdevumus;</w:t>
      </w:r>
    </w:p>
    <w:p w14:paraId="0D5CD842" w14:textId="77777777" w:rsidR="00CD140B" w:rsidRPr="00B22B80" w:rsidRDefault="00CD140B" w:rsidP="000C42FB">
      <w:pPr>
        <w:pStyle w:val="ListParagraph"/>
        <w:numPr>
          <w:ilvl w:val="1"/>
          <w:numId w:val="2"/>
        </w:numPr>
        <w:spacing w:before="120" w:after="120" w:line="259" w:lineRule="auto"/>
        <w:ind w:left="992" w:hanging="567"/>
        <w:contextualSpacing w:val="0"/>
        <w:jc w:val="both"/>
        <w:rPr>
          <w:b/>
        </w:rPr>
      </w:pPr>
      <w:r w:rsidRPr="00B22B80">
        <w:t xml:space="preserve">atbild par fizisko personu sensitīvo datu neizpaušanu, kas kļuvuši zināmi pildot amata pienākumus. </w:t>
      </w:r>
    </w:p>
    <w:p w14:paraId="3DE10E41" w14:textId="77777777" w:rsidR="00CD140B" w:rsidRPr="00B22B80" w:rsidRDefault="00CD140B" w:rsidP="00CD140B">
      <w:pPr>
        <w:pStyle w:val="ListParagraph"/>
        <w:numPr>
          <w:ilvl w:val="0"/>
          <w:numId w:val="1"/>
        </w:numPr>
        <w:spacing w:after="120" w:line="276" w:lineRule="auto"/>
        <w:ind w:left="142" w:hanging="142"/>
        <w:contextualSpacing w:val="0"/>
        <w:jc w:val="center"/>
        <w:rPr>
          <w:bCs/>
        </w:rPr>
      </w:pPr>
      <w:r w:rsidRPr="00B22B80">
        <w:rPr>
          <w:b/>
        </w:rPr>
        <w:t xml:space="preserve">Komisijas sēžu darba kārtība </w:t>
      </w:r>
    </w:p>
    <w:p w14:paraId="7DECA8E1" w14:textId="1EFC3EE3" w:rsidR="00CD140B" w:rsidRPr="00B22B80" w:rsidRDefault="00CD140B" w:rsidP="00CD140B">
      <w:pPr>
        <w:pStyle w:val="ListParagraph"/>
        <w:numPr>
          <w:ilvl w:val="0"/>
          <w:numId w:val="2"/>
        </w:numPr>
        <w:spacing w:before="120"/>
        <w:ind w:left="425" w:hanging="425"/>
        <w:contextualSpacing w:val="0"/>
        <w:jc w:val="both"/>
        <w:rPr>
          <w:b/>
        </w:rPr>
      </w:pPr>
      <w:r w:rsidRPr="00B22B80">
        <w:t xml:space="preserve">Komisijas darbs notiek sēdes ne retāk kā četras reizes gadā. Protokolētājs ne vēlāk kā 5 dienas pirms sēdes, Komisijas priekšsēdētāja uzdevumā nosūta elektroniski Komisijas locekļiem paziņojumu par sēdes norises laiku, vietu un darba kārtību. Komisijas sēdes ir atklātas, izņemot gadījumos, ja izskata jautājumus, kuru izpaušana ir aizliegta ar likumu.  </w:t>
      </w:r>
    </w:p>
    <w:p w14:paraId="7B17B4B3" w14:textId="3A8D9391" w:rsidR="00CD140B" w:rsidRPr="00B22B80" w:rsidRDefault="00CD140B" w:rsidP="00CD140B">
      <w:pPr>
        <w:pStyle w:val="ListParagraph"/>
        <w:numPr>
          <w:ilvl w:val="0"/>
          <w:numId w:val="2"/>
        </w:numPr>
        <w:spacing w:before="120"/>
        <w:ind w:left="425" w:hanging="425"/>
        <w:contextualSpacing w:val="0"/>
        <w:jc w:val="both"/>
        <w:rPr>
          <w:b/>
        </w:rPr>
      </w:pPr>
      <w:r w:rsidRPr="00B22B80">
        <w:t>Sēdes var notikt, ja tajā piedalās vismaz puse no Komisijas locekļiem. Komisija lēmumus pieņem atklāti balsojot, ar vienkāršu balsu vairākumu. Ja balsu skaits sadalās vienādi, izšķirošā ir Komisijas priekšsēdētāja balss.</w:t>
      </w:r>
    </w:p>
    <w:p w14:paraId="577C25B2" w14:textId="64630029" w:rsidR="00CD140B" w:rsidRPr="00B22B80" w:rsidRDefault="00CD140B" w:rsidP="00CD140B">
      <w:pPr>
        <w:pStyle w:val="ListParagraph"/>
        <w:numPr>
          <w:ilvl w:val="0"/>
          <w:numId w:val="2"/>
        </w:numPr>
        <w:spacing w:before="120"/>
        <w:ind w:left="426" w:hanging="426"/>
        <w:contextualSpacing w:val="0"/>
        <w:jc w:val="both"/>
        <w:rPr>
          <w:b/>
        </w:rPr>
      </w:pPr>
      <w:r w:rsidRPr="00B22B80">
        <w:t xml:space="preserve">Komisijas sēdes protokolē protokolētājs. Protokolu paraksta sēdes vadītājs un protokolētājs. Protokolā ieraksta: </w:t>
      </w:r>
    </w:p>
    <w:p w14:paraId="50BF0271"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kad sēdi atklāj un slēdz;</w:t>
      </w:r>
    </w:p>
    <w:p w14:paraId="4ACD8EA7"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sēdes darba kārtību;</w:t>
      </w:r>
    </w:p>
    <w:p w14:paraId="4AE68232"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sēdes vadītāja un sēdes protokolētāja vārdu un uzvārdu;</w:t>
      </w:r>
    </w:p>
    <w:p w14:paraId="081D96BA"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sēdē piedalījušos un klāt neesošo Komisijas locekļu vārdu un uzvārdu;</w:t>
      </w:r>
    </w:p>
    <w:p w14:paraId="722C19E3"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sēdē pieaicināto personu vārdu, uzvārdu un organizāciju, ko tie pārstāv;</w:t>
      </w:r>
    </w:p>
    <w:p w14:paraId="20E9FBC6" w14:textId="77777777" w:rsidR="00CD140B" w:rsidRPr="00B22B80" w:rsidRDefault="00CD140B" w:rsidP="00CD140B">
      <w:pPr>
        <w:pStyle w:val="ListParagraph"/>
        <w:numPr>
          <w:ilvl w:val="1"/>
          <w:numId w:val="2"/>
        </w:numPr>
        <w:spacing w:before="120" w:line="259" w:lineRule="auto"/>
        <w:ind w:left="992" w:hanging="567"/>
        <w:contextualSpacing w:val="0"/>
        <w:jc w:val="both"/>
        <w:rPr>
          <w:b/>
        </w:rPr>
      </w:pPr>
      <w:r w:rsidRPr="00B22B80">
        <w:t>priekšlikumus un sēdes vadītāja rīkojumus;</w:t>
      </w:r>
    </w:p>
    <w:p w14:paraId="4B6C9A65" w14:textId="77777777" w:rsidR="00CD140B" w:rsidRPr="00B22B80" w:rsidRDefault="00CD140B" w:rsidP="000C42FB">
      <w:pPr>
        <w:pStyle w:val="ListParagraph"/>
        <w:numPr>
          <w:ilvl w:val="1"/>
          <w:numId w:val="2"/>
        </w:numPr>
        <w:spacing w:before="120" w:after="120" w:line="259" w:lineRule="auto"/>
        <w:ind w:left="992" w:hanging="567"/>
        <w:contextualSpacing w:val="0"/>
        <w:jc w:val="both"/>
        <w:rPr>
          <w:b/>
        </w:rPr>
      </w:pPr>
      <w:r w:rsidRPr="00B22B80">
        <w:t>pieņemtos lēmumus, norādot, norādot katra Komisijas locekļa balsojum “par”., “pret” vai “atturas”.</w:t>
      </w:r>
    </w:p>
    <w:p w14:paraId="206BE8C3" w14:textId="77777777" w:rsidR="00CD140B" w:rsidRPr="00B22B80" w:rsidRDefault="00CD140B" w:rsidP="00CD140B">
      <w:pPr>
        <w:pStyle w:val="ListParagraph"/>
        <w:numPr>
          <w:ilvl w:val="0"/>
          <w:numId w:val="2"/>
        </w:numPr>
        <w:spacing w:after="120"/>
        <w:ind w:left="426" w:hanging="426"/>
        <w:contextualSpacing w:val="0"/>
        <w:jc w:val="both"/>
        <w:rPr>
          <w:b/>
        </w:rPr>
      </w:pPr>
      <w:r w:rsidRPr="00B22B80">
        <w:t>Ja Komisijas sēdē piedalās citas personas, viņu rakstveidā sniegto informāciju pievieno sēdes protokolam, bet mutiski izteikto viedokli – ieprotokolē.</w:t>
      </w:r>
    </w:p>
    <w:p w14:paraId="66CD5309" w14:textId="0C3A4281" w:rsidR="00CD140B" w:rsidRPr="00B22B80" w:rsidRDefault="00CD140B" w:rsidP="00CD140B">
      <w:pPr>
        <w:pStyle w:val="ListParagraph"/>
        <w:numPr>
          <w:ilvl w:val="0"/>
          <w:numId w:val="2"/>
        </w:numPr>
        <w:spacing w:after="120"/>
        <w:ind w:left="426" w:hanging="426"/>
        <w:contextualSpacing w:val="0"/>
        <w:jc w:val="both"/>
        <w:rPr>
          <w:b/>
        </w:rPr>
      </w:pPr>
      <w:r w:rsidRPr="00B22B80">
        <w:t xml:space="preserve">Komisijas priekšsēdētājs paraksta sēdes protokolu piecu darba dienu laikā pēc sēdes. Komisijas protokolētājs elektroniski nosūta protokolu Komisijas locekļiem un protokolā noteiktajām personām, </w:t>
      </w:r>
      <w:r w:rsidR="000C42FB" w:rsidRPr="00B22B80">
        <w:t xml:space="preserve">kā arī </w:t>
      </w:r>
      <w:r w:rsidRPr="00B22B80">
        <w:t xml:space="preserve">ievieto pašvaldības dokumentu vadības sistēmā. </w:t>
      </w:r>
    </w:p>
    <w:p w14:paraId="6DF76412" w14:textId="77777777" w:rsidR="00CD140B" w:rsidRPr="00B22B80" w:rsidRDefault="00CD140B" w:rsidP="00CD140B">
      <w:pPr>
        <w:pStyle w:val="ListParagraph"/>
        <w:numPr>
          <w:ilvl w:val="0"/>
          <w:numId w:val="2"/>
        </w:numPr>
        <w:spacing w:after="120"/>
        <w:ind w:left="426" w:hanging="426"/>
        <w:contextualSpacing w:val="0"/>
        <w:jc w:val="both"/>
        <w:rPr>
          <w:b/>
        </w:rPr>
      </w:pPr>
      <w:r w:rsidRPr="00B22B80">
        <w:t>Ja kāds no Komisijas locekļiem pārtrauc darbu Komisijā, tas iesniedz Komisijas priekšsēdētājam rakstiski iesniegumu.</w:t>
      </w:r>
    </w:p>
    <w:p w14:paraId="46C704A5" w14:textId="7DF4902F" w:rsidR="00CD140B" w:rsidRPr="00B22B80" w:rsidRDefault="00CD140B" w:rsidP="00CD140B">
      <w:pPr>
        <w:pStyle w:val="ListParagraph"/>
        <w:numPr>
          <w:ilvl w:val="0"/>
          <w:numId w:val="2"/>
        </w:numPr>
        <w:spacing w:after="120"/>
        <w:ind w:left="426" w:hanging="426"/>
        <w:contextualSpacing w:val="0"/>
        <w:jc w:val="both"/>
        <w:rPr>
          <w:b/>
        </w:rPr>
      </w:pPr>
      <w:r w:rsidRPr="00B22B80">
        <w:t xml:space="preserve">Domes priekšsēdētājs ar rīkojumu apstiprina izmaiņas Komisijas sastāvā. </w:t>
      </w:r>
    </w:p>
    <w:p w14:paraId="062468FD" w14:textId="77777777" w:rsidR="00CD140B" w:rsidRPr="00B22B80" w:rsidRDefault="00CD140B" w:rsidP="00CD140B">
      <w:pPr>
        <w:spacing w:before="120" w:after="0" w:line="276" w:lineRule="auto"/>
        <w:rPr>
          <w:b/>
        </w:rPr>
      </w:pPr>
    </w:p>
    <w:p w14:paraId="3DDC7186" w14:textId="77777777" w:rsidR="00CD140B" w:rsidRPr="00B22B80" w:rsidRDefault="00CD140B" w:rsidP="00CD140B">
      <w:pPr>
        <w:spacing w:before="120" w:after="0"/>
        <w:rPr>
          <w:rFonts w:eastAsia="Times New Roman"/>
          <w:lang w:eastAsia="lv-LV"/>
        </w:rPr>
      </w:pPr>
    </w:p>
    <w:p w14:paraId="05944F63" w14:textId="2A4C5941" w:rsidR="00CD140B" w:rsidRDefault="00CD140B" w:rsidP="000C42FB">
      <w:pPr>
        <w:spacing w:before="120" w:after="0"/>
        <w:rPr>
          <w:rFonts w:eastAsia="Times New Roman"/>
          <w:lang w:eastAsia="lv-LV"/>
        </w:rPr>
      </w:pPr>
      <w:r w:rsidRPr="00B22B80">
        <w:rPr>
          <w:rFonts w:eastAsia="Times New Roman"/>
          <w:lang w:eastAsia="lv-LV"/>
        </w:rPr>
        <w:t>Pašvaldības domes priekšsēdētāja</w:t>
      </w:r>
      <w:r w:rsidRPr="00B22B80">
        <w:rPr>
          <w:rFonts w:eastAsia="Times New Roman"/>
          <w:lang w:eastAsia="lv-LV"/>
        </w:rPr>
        <w:tab/>
      </w:r>
      <w:r w:rsidRPr="00B22B80">
        <w:rPr>
          <w:rFonts w:eastAsia="Times New Roman"/>
          <w:lang w:eastAsia="lv-LV"/>
        </w:rPr>
        <w:tab/>
      </w:r>
      <w:r w:rsidRPr="00B22B80">
        <w:rPr>
          <w:rFonts w:eastAsia="Times New Roman"/>
          <w:lang w:eastAsia="lv-LV"/>
        </w:rPr>
        <w:tab/>
        <w:t xml:space="preserve">       </w:t>
      </w:r>
      <w:r w:rsidRPr="00B22B80">
        <w:rPr>
          <w:rFonts w:eastAsia="Times New Roman"/>
          <w:lang w:eastAsia="lv-LV"/>
        </w:rPr>
        <w:tab/>
      </w:r>
      <w:r w:rsidRPr="00B22B80">
        <w:rPr>
          <w:rFonts w:eastAsia="Times New Roman"/>
          <w:lang w:eastAsia="lv-LV"/>
        </w:rPr>
        <w:tab/>
      </w:r>
      <w:r w:rsidRPr="00B22B80">
        <w:rPr>
          <w:rFonts w:eastAsia="Times New Roman"/>
          <w:lang w:eastAsia="lv-LV"/>
        </w:rPr>
        <w:tab/>
        <w:t xml:space="preserve">         K. Miķelsone</w:t>
      </w:r>
    </w:p>
    <w:p w14:paraId="791CEAE5" w14:textId="77777777" w:rsidR="0089066B" w:rsidRDefault="0089066B" w:rsidP="0089066B">
      <w:pPr>
        <w:spacing w:after="0"/>
        <w:jc w:val="center"/>
        <w:rPr>
          <w:rFonts w:eastAsia="Calibri"/>
        </w:rPr>
      </w:pPr>
    </w:p>
    <w:p w14:paraId="3708C36B" w14:textId="66CA4744" w:rsidR="0089066B" w:rsidRDefault="0089066B" w:rsidP="0089066B">
      <w:pPr>
        <w:spacing w:after="0"/>
        <w:jc w:val="center"/>
        <w:rPr>
          <w:rFonts w:eastAsia="Calibri"/>
        </w:rPr>
      </w:pPr>
      <w:r w:rsidRPr="00DF4C71">
        <w:rPr>
          <w:rFonts w:eastAsia="Calibri"/>
        </w:rPr>
        <w:lastRenderedPageBreak/>
        <w:t>ŠIS DOKUMENTS IR ELEKTRONISKI PARAKSTĪTS AR DROŠU ELEKTRONISKO</w:t>
      </w:r>
    </w:p>
    <w:p w14:paraId="251A2CC6" w14:textId="68B65C88" w:rsidR="0089066B" w:rsidRPr="00DF4C71" w:rsidRDefault="0089066B" w:rsidP="0089066B">
      <w:pPr>
        <w:spacing w:after="0"/>
        <w:jc w:val="center"/>
        <w:rPr>
          <w:color w:val="FF0000"/>
        </w:rPr>
      </w:pPr>
      <w:r w:rsidRPr="00DF4C71">
        <w:rPr>
          <w:rFonts w:eastAsia="Calibri"/>
        </w:rPr>
        <w:t>PARAKSTU UN SATUR LAIKA ZĪMOGU</w:t>
      </w:r>
    </w:p>
    <w:p w14:paraId="557807D6" w14:textId="77777777" w:rsidR="0089066B" w:rsidRDefault="0089066B" w:rsidP="0089066B">
      <w:pPr>
        <w:spacing w:after="0"/>
        <w:rPr>
          <w:rFonts w:eastAsia="Times New Roman"/>
          <w:lang w:eastAsia="lv-LV"/>
        </w:rPr>
      </w:pPr>
    </w:p>
    <w:p w14:paraId="54A63E28" w14:textId="0A64BB74" w:rsidR="005F417E" w:rsidRPr="00B22B80" w:rsidRDefault="005F417E" w:rsidP="000C42FB">
      <w:pPr>
        <w:spacing w:before="120" w:after="0"/>
        <w:rPr>
          <w:rFonts w:eastAsia="Times New Roman"/>
          <w:lang w:eastAsia="lv-LV"/>
        </w:rPr>
      </w:pPr>
      <w:r>
        <w:rPr>
          <w:rFonts w:eastAsia="Times New Roman"/>
          <w:lang w:eastAsia="lv-LV"/>
        </w:rPr>
        <w:t>Sadale: IJN, ĀVS, SPS, ĀBJS, GRN, FIN, SAN - @</w:t>
      </w:r>
    </w:p>
    <w:p w14:paraId="256FE583" w14:textId="77777777" w:rsidR="00B015D4" w:rsidRDefault="00B015D4"/>
    <w:sectPr w:rsidR="00B015D4" w:rsidSect="00C6495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258"/>
    <w:multiLevelType w:val="multilevel"/>
    <w:tmpl w:val="B4BAFB7E"/>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E20717"/>
    <w:multiLevelType w:val="hybridMultilevel"/>
    <w:tmpl w:val="2D628D80"/>
    <w:lvl w:ilvl="0" w:tplc="ED7C3E72">
      <w:start w:val="1"/>
      <w:numFmt w:val="upperRoman"/>
      <w:lvlText w:val="%1."/>
      <w:lvlJc w:val="right"/>
      <w:pPr>
        <w:ind w:left="720" w:hanging="360"/>
      </w:pPr>
      <w:rPr>
        <w:b/>
        <w:bCs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5198156">
    <w:abstractNumId w:val="1"/>
  </w:num>
  <w:num w:numId="2" w16cid:durableId="13411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0B"/>
    <w:rsid w:val="00011ED8"/>
    <w:rsid w:val="00030D57"/>
    <w:rsid w:val="000C42FB"/>
    <w:rsid w:val="001E348D"/>
    <w:rsid w:val="00241CC5"/>
    <w:rsid w:val="005C6153"/>
    <w:rsid w:val="005F417E"/>
    <w:rsid w:val="006870F4"/>
    <w:rsid w:val="006B4CD5"/>
    <w:rsid w:val="006D1515"/>
    <w:rsid w:val="006F5DFF"/>
    <w:rsid w:val="006F691E"/>
    <w:rsid w:val="0089066B"/>
    <w:rsid w:val="008F56BF"/>
    <w:rsid w:val="00906E1D"/>
    <w:rsid w:val="00966AE0"/>
    <w:rsid w:val="00A0063E"/>
    <w:rsid w:val="00AE7A9E"/>
    <w:rsid w:val="00B015D4"/>
    <w:rsid w:val="00B22B80"/>
    <w:rsid w:val="00C64950"/>
    <w:rsid w:val="00C971FE"/>
    <w:rsid w:val="00CB6AC6"/>
    <w:rsid w:val="00CD140B"/>
    <w:rsid w:val="00D952A3"/>
    <w:rsid w:val="00DC15B8"/>
    <w:rsid w:val="00F51A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ED6B"/>
  <w15:chartTrackingRefBased/>
  <w15:docId w15:val="{02E0634C-DD58-4BD1-8AF5-6963891F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40B"/>
    <w:pPr>
      <w:spacing w:after="120" w:line="240" w:lineRule="auto"/>
      <w:jc w:val="both"/>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CD140B"/>
    <w:pPr>
      <w:spacing w:after="0"/>
      <w:ind w:left="720"/>
      <w:contextualSpacing/>
      <w:jc w:val="left"/>
    </w:pPr>
    <w:rPr>
      <w:rFonts w:eastAsia="Times New Roman"/>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CD140B"/>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CD140B"/>
    <w:rPr>
      <w:sz w:val="16"/>
      <w:szCs w:val="16"/>
    </w:rPr>
  </w:style>
  <w:style w:type="paragraph" w:styleId="CommentText">
    <w:name w:val="annotation text"/>
    <w:basedOn w:val="Normal"/>
    <w:link w:val="CommentTextChar"/>
    <w:uiPriority w:val="99"/>
    <w:unhideWhenUsed/>
    <w:rsid w:val="00CD140B"/>
    <w:rPr>
      <w:sz w:val="20"/>
      <w:szCs w:val="20"/>
    </w:rPr>
  </w:style>
  <w:style w:type="character" w:customStyle="1" w:styleId="CommentTextChar">
    <w:name w:val="Comment Text Char"/>
    <w:basedOn w:val="DefaultParagraphFont"/>
    <w:link w:val="CommentText"/>
    <w:uiPriority w:val="99"/>
    <w:rsid w:val="00CD140B"/>
    <w:rPr>
      <w:rFonts w:ascii="Times New Roman" w:hAnsi="Times New Roman" w:cs="Times New Roman"/>
      <w:kern w:val="0"/>
      <w:sz w:val="20"/>
      <w:szCs w:val="20"/>
      <w14:ligatures w14:val="none"/>
    </w:rPr>
  </w:style>
  <w:style w:type="character" w:customStyle="1" w:styleId="cf01">
    <w:name w:val="cf01"/>
    <w:basedOn w:val="DefaultParagraphFont"/>
    <w:rsid w:val="00CD140B"/>
    <w:rPr>
      <w:rFonts w:ascii="Segoe UI" w:hAnsi="Segoe UI" w:cs="Segoe UI" w:hint="default"/>
      <w:sz w:val="18"/>
      <w:szCs w:val="18"/>
    </w:rPr>
  </w:style>
  <w:style w:type="character" w:styleId="Hyperlink">
    <w:name w:val="Hyperlink"/>
    <w:basedOn w:val="DefaultParagraphFont"/>
    <w:uiPriority w:val="99"/>
    <w:unhideWhenUsed/>
    <w:rsid w:val="000C42FB"/>
    <w:rPr>
      <w:color w:val="0563C1" w:themeColor="hyperlink"/>
      <w:u w:val="single"/>
    </w:rPr>
  </w:style>
  <w:style w:type="character" w:styleId="UnresolvedMention">
    <w:name w:val="Unresolved Mention"/>
    <w:basedOn w:val="DefaultParagraphFont"/>
    <w:uiPriority w:val="99"/>
    <w:semiHidden/>
    <w:unhideWhenUsed/>
    <w:rsid w:val="000C42FB"/>
    <w:rPr>
      <w:color w:val="605E5C"/>
      <w:shd w:val="clear" w:color="auto" w:fill="E1DFDD"/>
    </w:rPr>
  </w:style>
  <w:style w:type="paragraph" w:styleId="Revision">
    <w:name w:val="Revision"/>
    <w:hidden/>
    <w:uiPriority w:val="99"/>
    <w:semiHidden/>
    <w:rsid w:val="00A0063E"/>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86FE6-D3B1-4C97-9194-75E2EF20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4129</Words>
  <Characters>2354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Jevgēnija Sviridenkova</cp:lastModifiedBy>
  <cp:revision>2</cp:revision>
  <dcterms:created xsi:type="dcterms:W3CDTF">2024-02-23T07:44:00Z</dcterms:created>
  <dcterms:modified xsi:type="dcterms:W3CDTF">2024-02-23T07:44:00Z</dcterms:modified>
</cp:coreProperties>
</file>