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04BB" w14:textId="77777777" w:rsidR="004D516C" w:rsidRDefault="008573E4" w:rsidP="00564CA6">
      <w:r>
        <w:rPr>
          <w:noProof/>
        </w:rPr>
        <w:drawing>
          <wp:inline distT="0" distB="0" distL="0" distR="0" wp14:anchorId="50953E4A" wp14:editId="0AD1C235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58CC" w14:textId="77777777" w:rsidR="005C7FA1" w:rsidRDefault="005C7FA1" w:rsidP="00564CA6"/>
    <w:p w14:paraId="32173BF0" w14:textId="77777777" w:rsidR="00564CA6" w:rsidRPr="008573E4" w:rsidRDefault="008573E4" w:rsidP="00564CA6">
      <w:pPr>
        <w:jc w:val="right"/>
        <w:rPr>
          <w:rFonts w:ascii="Times New Roman" w:hAnsi="Times New Roman" w:cs="Times New Roman"/>
          <w:noProof/>
        </w:rPr>
      </w:pPr>
      <w:r w:rsidRPr="008573E4">
        <w:rPr>
          <w:rFonts w:ascii="Times New Roman" w:hAnsi="Times New Roman" w:cs="Times New Roman"/>
          <w:noProof/>
        </w:rPr>
        <w:t>PROJEKTS uz 24.04.2024.</w:t>
      </w:r>
    </w:p>
    <w:p w14:paraId="40633802" w14:textId="77777777" w:rsidR="00564CA6" w:rsidRPr="008573E4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9688C0E" w14:textId="77777777" w:rsidR="00564CA6" w:rsidRPr="00564CA6" w:rsidRDefault="008573E4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8573E4">
        <w:rPr>
          <w:rFonts w:ascii="Times New Roman" w:hAnsi="Times New Roman" w:cs="Times New Roman"/>
          <w:noProof/>
        </w:rPr>
        <w:t>vēlamais datums izskatīšanai: IKSSK 08.05.2024.</w:t>
      </w:r>
    </w:p>
    <w:p w14:paraId="7AD1BB11" w14:textId="77777777" w:rsidR="00564CA6" w:rsidRPr="00564CA6" w:rsidRDefault="008573E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30</w:t>
      </w:r>
      <w:r w:rsidRPr="00564CA6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5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2024</w:t>
      </w:r>
      <w:r w:rsidRPr="00564CA6">
        <w:rPr>
          <w:rFonts w:ascii="Times New Roman" w:hAnsi="Times New Roman" w:cs="Times New Roman"/>
          <w:noProof/>
        </w:rPr>
        <w:t>.</w:t>
      </w:r>
    </w:p>
    <w:p w14:paraId="5B026E0A" w14:textId="77777777" w:rsidR="00564CA6" w:rsidRPr="008573E4" w:rsidRDefault="008573E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sagatavotājs</w:t>
      </w:r>
      <w:r>
        <w:rPr>
          <w:rFonts w:ascii="Times New Roman" w:hAnsi="Times New Roman" w:cs="Times New Roman"/>
          <w:noProof/>
        </w:rPr>
        <w:t xml:space="preserve"> un </w:t>
      </w:r>
      <w:r w:rsidRPr="00564CA6">
        <w:rPr>
          <w:rFonts w:ascii="Times New Roman" w:hAnsi="Times New Roman" w:cs="Times New Roman"/>
          <w:noProof/>
        </w:rPr>
        <w:t xml:space="preserve">ziņotājs: </w:t>
      </w:r>
      <w:r w:rsidRPr="008573E4">
        <w:rPr>
          <w:rFonts w:ascii="Times New Roman" w:hAnsi="Times New Roman" w:cs="Times New Roman"/>
          <w:noProof/>
        </w:rPr>
        <w:t>Nataļja Krasnova</w:t>
      </w:r>
    </w:p>
    <w:p w14:paraId="0744610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654A485D" w14:textId="77777777" w:rsidR="00310BC7" w:rsidRPr="004C33B2" w:rsidRDefault="008573E4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6DC7124A" w14:textId="77777777" w:rsidR="00310BC7" w:rsidRPr="004C33B2" w:rsidRDefault="008573E4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8573E4">
        <w:rPr>
          <w:rFonts w:ascii="Times New Roman" w:hAnsi="Times New Roman"/>
          <w:noProof/>
        </w:rPr>
        <w:t>2024. gada 30. maija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0915A06A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1DB7BBFB" w14:textId="77777777" w:rsidR="00310BC7" w:rsidRPr="004C33B2" w:rsidRDefault="008573E4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2CB34BE0" w14:textId="77777777" w:rsidR="00310BC7" w:rsidRPr="004C33B2" w:rsidRDefault="008573E4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757292FC" w14:textId="77777777" w:rsidR="00564CA6" w:rsidRPr="00564CA6" w:rsidRDefault="008573E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77DB9BE" w14:textId="77777777" w:rsidR="00564CA6" w:rsidRPr="00564CA6" w:rsidRDefault="008573E4" w:rsidP="00564CA6">
      <w:pPr>
        <w:rPr>
          <w:rFonts w:ascii="Times New Roman" w:hAnsi="Times New Roman" w:cs="Times New Roman"/>
        </w:rPr>
      </w:pPr>
      <w:r w:rsidRPr="008573E4">
        <w:rPr>
          <w:rFonts w:ascii="Times New Roman" w:hAnsi="Times New Roman" w:cs="Times New Roman"/>
        </w:rPr>
        <w:t xml:space="preserve">2024. gada 30. maijā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D4B92F4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75167D2" w14:textId="77777777" w:rsidR="008573E4" w:rsidRPr="008573E4" w:rsidRDefault="008573E4" w:rsidP="008573E4">
      <w:pPr>
        <w:spacing w:after="1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73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Par laulību jubilejas pasākumu organizēšanu </w:t>
      </w:r>
    </w:p>
    <w:p w14:paraId="29089A37" w14:textId="77777777" w:rsidR="008573E4" w:rsidRPr="008573E4" w:rsidRDefault="008573E4" w:rsidP="008573E4">
      <w:pPr>
        <w:ind w:left="5040"/>
        <w:jc w:val="both"/>
        <w:rPr>
          <w:rFonts w:ascii="Times New Roman" w:eastAsia="Calibri" w:hAnsi="Times New Roman" w:cs="Times New Roman"/>
          <w:bCs/>
          <w:iCs/>
          <w:sz w:val="22"/>
          <w:szCs w:val="22"/>
        </w:rPr>
      </w:pPr>
    </w:p>
    <w:p w14:paraId="4A10E8ED" w14:textId="77777777" w:rsidR="008573E4" w:rsidRPr="008573E4" w:rsidRDefault="008573E4" w:rsidP="00F801D2">
      <w:pPr>
        <w:ind w:left="4678"/>
        <w:jc w:val="right"/>
        <w:rPr>
          <w:rFonts w:ascii="Times New Roman" w:eastAsia="Calibri" w:hAnsi="Times New Roman" w:cs="Times New Roman"/>
          <w:bCs/>
          <w:i/>
          <w:sz w:val="22"/>
          <w:szCs w:val="22"/>
        </w:rPr>
      </w:pPr>
      <w:r w:rsidRPr="008573E4">
        <w:rPr>
          <w:rFonts w:ascii="Times New Roman" w:eastAsia="Calibri" w:hAnsi="Times New Roman" w:cs="Times New Roman"/>
          <w:bCs/>
          <w:i/>
          <w:sz w:val="22"/>
          <w:szCs w:val="22"/>
        </w:rPr>
        <w:t>Izdoti saskaņā ar Valsts pārvaldes iekārtas</w:t>
      </w:r>
      <w:r w:rsidR="00F801D2">
        <w:rPr>
          <w:rFonts w:ascii="Times New Roman" w:eastAsia="Calibri" w:hAnsi="Times New Roman" w:cs="Times New Roman"/>
          <w:bCs/>
          <w:i/>
          <w:sz w:val="22"/>
          <w:szCs w:val="22"/>
        </w:rPr>
        <w:t xml:space="preserve"> </w:t>
      </w:r>
      <w:r w:rsidRPr="008573E4">
        <w:rPr>
          <w:rFonts w:ascii="Times New Roman" w:eastAsia="Calibri" w:hAnsi="Times New Roman" w:cs="Times New Roman"/>
          <w:bCs/>
          <w:i/>
          <w:sz w:val="22"/>
          <w:szCs w:val="22"/>
        </w:rPr>
        <w:t>likuma 73. panta pirmās daļas 4. punktu</w:t>
      </w:r>
    </w:p>
    <w:p w14:paraId="05C4A7BD" w14:textId="77777777" w:rsidR="008573E4" w:rsidRPr="008573E4" w:rsidRDefault="008573E4" w:rsidP="008573E4">
      <w:pPr>
        <w:ind w:left="5040"/>
        <w:jc w:val="both"/>
        <w:rPr>
          <w:rFonts w:ascii="Times New Roman" w:eastAsia="Calibri" w:hAnsi="Times New Roman" w:cs="Times New Roman"/>
          <w:bCs/>
          <w:iCs/>
          <w:sz w:val="22"/>
          <w:szCs w:val="22"/>
        </w:rPr>
      </w:pPr>
    </w:p>
    <w:p w14:paraId="6463B6C1" w14:textId="77777777" w:rsidR="008573E4" w:rsidRPr="008573E4" w:rsidRDefault="008573E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>Noteikumi nosaka kārtību, kādā Ādažu novada pašvaldība (turpmāk – pašvaldība) organizē laulību jubilejas atzīmēšanas pasākumu (turpmāk – pasākums)</w:t>
      </w:r>
      <w:r w:rsidR="00F801D2">
        <w:rPr>
          <w:rFonts w:ascii="Times New Roman" w:eastAsia="Calibri" w:hAnsi="Times New Roman" w:cs="Times New Roman"/>
        </w:rPr>
        <w:t xml:space="preserve"> Ādažu novada iedzīvotājiem</w:t>
      </w:r>
      <w:r w:rsidRPr="008573E4">
        <w:rPr>
          <w:rFonts w:ascii="Times New Roman" w:eastAsia="Calibri" w:hAnsi="Times New Roman" w:cs="Times New Roman"/>
        </w:rPr>
        <w:t>.</w:t>
      </w:r>
    </w:p>
    <w:p w14:paraId="6066F3B0" w14:textId="77777777" w:rsidR="008573E4" w:rsidRPr="008573E4" w:rsidRDefault="008573E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 xml:space="preserve">Pasākuma mērķis ir godināt un sveikt laulību jubilārus, </w:t>
      </w:r>
      <w:r w:rsidR="00F801D2">
        <w:rPr>
          <w:rFonts w:ascii="Times New Roman" w:eastAsia="Calibri" w:hAnsi="Times New Roman" w:cs="Times New Roman"/>
        </w:rPr>
        <w:t xml:space="preserve">kā arī </w:t>
      </w:r>
      <w:r w:rsidRPr="008573E4">
        <w:rPr>
          <w:rFonts w:ascii="Times New Roman" w:eastAsia="Calibri" w:hAnsi="Times New Roman" w:cs="Times New Roman"/>
        </w:rPr>
        <w:t>stiprināt ģimeniskās saites un vērtības.</w:t>
      </w:r>
    </w:p>
    <w:p w14:paraId="689F7E27" w14:textId="77777777" w:rsidR="008573E4" w:rsidRPr="008573E4" w:rsidRDefault="008573E4" w:rsidP="00A21743">
      <w:pPr>
        <w:numPr>
          <w:ilvl w:val="0"/>
          <w:numId w:val="5"/>
        </w:numPr>
        <w:spacing w:after="120"/>
        <w:ind w:left="425" w:hanging="425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 xml:space="preserve">Pasākumu organizē, sagatavo un vada Ādažu novada dzimtsarakstu nodaļa (turpmāk – dzimtsarakstu nodaļa) sadarbībā ar pašvaldības iestādēm un struktūrvienībām. </w:t>
      </w:r>
    </w:p>
    <w:p w14:paraId="49B7887E" w14:textId="77777777" w:rsidR="008573E4" w:rsidRPr="008573E4" w:rsidRDefault="008573E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>Dzimtsarakstu nodaļa līdz</w:t>
      </w:r>
      <w:r w:rsidR="00F801D2">
        <w:rPr>
          <w:rFonts w:ascii="Times New Roman" w:eastAsia="Calibri" w:hAnsi="Times New Roman" w:cs="Times New Roman"/>
        </w:rPr>
        <w:t xml:space="preserve"> kārtējā gada</w:t>
      </w:r>
      <w:r w:rsidRPr="008573E4">
        <w:rPr>
          <w:rFonts w:ascii="Times New Roman" w:eastAsia="Calibri" w:hAnsi="Times New Roman" w:cs="Times New Roman"/>
        </w:rPr>
        <w:t xml:space="preserve"> 31.</w:t>
      </w:r>
      <w:r w:rsidR="00F801D2">
        <w:rPr>
          <w:rFonts w:ascii="Times New Roman" w:eastAsia="Calibri" w:hAnsi="Times New Roman" w:cs="Times New Roman"/>
        </w:rPr>
        <w:t xml:space="preserve"> </w:t>
      </w:r>
      <w:r w:rsidRPr="008573E4">
        <w:rPr>
          <w:rFonts w:ascii="Times New Roman" w:eastAsia="Calibri" w:hAnsi="Times New Roman" w:cs="Times New Roman"/>
        </w:rPr>
        <w:t xml:space="preserve">augustam </w:t>
      </w:r>
      <w:r w:rsidR="00F801D2" w:rsidRPr="008573E4">
        <w:rPr>
          <w:rFonts w:ascii="Times New Roman" w:eastAsia="Calibri" w:hAnsi="Times New Roman" w:cs="Times New Roman"/>
        </w:rPr>
        <w:t xml:space="preserve">publicē </w:t>
      </w:r>
      <w:r w:rsidRPr="008573E4">
        <w:rPr>
          <w:rFonts w:ascii="Times New Roman" w:eastAsia="Calibri" w:hAnsi="Times New Roman" w:cs="Times New Roman"/>
        </w:rPr>
        <w:t xml:space="preserve">pašvaldības informatīvajā izdevumā “Ādažu Novada Vēstis” un tīmekļa vietnē </w:t>
      </w:r>
      <w:hyperlink r:id="rId9" w:history="1">
        <w:r w:rsidRPr="008573E4">
          <w:rPr>
            <w:rFonts w:ascii="Times New Roman" w:eastAsia="Calibri" w:hAnsi="Times New Roman" w:cs="Times New Roman"/>
            <w:color w:val="0563C1"/>
            <w:u w:val="single"/>
          </w:rPr>
          <w:t>www.adazunovads.lv</w:t>
        </w:r>
      </w:hyperlink>
      <w:r w:rsidRPr="008573E4">
        <w:rPr>
          <w:rFonts w:ascii="Times New Roman" w:eastAsia="Calibri" w:hAnsi="Times New Roman" w:cs="Times New Roman"/>
        </w:rPr>
        <w:t xml:space="preserve"> </w:t>
      </w:r>
      <w:r w:rsidR="00F801D2" w:rsidRPr="008573E4">
        <w:rPr>
          <w:rFonts w:ascii="Times New Roman" w:eastAsia="Calibri" w:hAnsi="Times New Roman" w:cs="Times New Roman"/>
        </w:rPr>
        <w:t>aicinājumu</w:t>
      </w:r>
      <w:r w:rsidR="00F801D2" w:rsidRPr="008573E4" w:rsidDel="00F801D2">
        <w:rPr>
          <w:rFonts w:ascii="Times New Roman" w:eastAsia="Calibri" w:hAnsi="Times New Roman" w:cs="Times New Roman"/>
        </w:rPr>
        <w:t xml:space="preserve"> </w:t>
      </w:r>
      <w:r w:rsidRPr="008573E4">
        <w:rPr>
          <w:rFonts w:ascii="Times New Roman" w:eastAsia="Calibri" w:hAnsi="Times New Roman" w:cs="Times New Roman"/>
        </w:rPr>
        <w:t xml:space="preserve">pieteikties laulāto pārus, kuru vismaz viena laulātā deklarētā dzīvesvieta ir Ādažu novada administratīvajā teritorijā un kuriem kārtējā gadā ir </w:t>
      </w:r>
      <w:r w:rsidR="009E7512">
        <w:rPr>
          <w:rFonts w:ascii="Times New Roman" w:eastAsia="Calibri" w:hAnsi="Times New Roman" w:cs="Times New Roman"/>
        </w:rPr>
        <w:t>25</w:t>
      </w:r>
      <w:r w:rsidR="00F801D2">
        <w:rPr>
          <w:rFonts w:ascii="Times New Roman" w:eastAsia="Calibri" w:hAnsi="Times New Roman" w:cs="Times New Roman"/>
        </w:rPr>
        <w:t xml:space="preserve"> gadu </w:t>
      </w:r>
      <w:r w:rsidRPr="008573E4">
        <w:rPr>
          <w:rFonts w:ascii="Times New Roman" w:eastAsia="Calibri" w:hAnsi="Times New Roman" w:cs="Times New Roman"/>
        </w:rPr>
        <w:t>laulību jubileja</w:t>
      </w:r>
      <w:r w:rsidR="00F801D2">
        <w:rPr>
          <w:rFonts w:ascii="Times New Roman" w:eastAsia="Calibri" w:hAnsi="Times New Roman" w:cs="Times New Roman"/>
        </w:rPr>
        <w:t>, vai turpmāka laulību jubileja ir pēc katriem 5 gadiem</w:t>
      </w:r>
      <w:r w:rsidRPr="008573E4">
        <w:rPr>
          <w:rFonts w:ascii="Times New Roman" w:eastAsia="Calibri" w:hAnsi="Times New Roman" w:cs="Times New Roman"/>
        </w:rPr>
        <w:t xml:space="preserve">. </w:t>
      </w:r>
    </w:p>
    <w:p w14:paraId="20FC19F3" w14:textId="77777777" w:rsidR="008573E4" w:rsidRPr="008573E4" w:rsidRDefault="008573E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>Laulātie, kuri vēlas svinīgi atzīmēt laulību jubileju</w:t>
      </w:r>
      <w:r w:rsidR="00F801D2">
        <w:rPr>
          <w:rFonts w:ascii="Times New Roman" w:eastAsia="Calibri" w:hAnsi="Times New Roman" w:cs="Times New Roman"/>
        </w:rPr>
        <w:t>,</w:t>
      </w:r>
      <w:r w:rsidR="00681B1E">
        <w:rPr>
          <w:rFonts w:ascii="Times New Roman" w:eastAsia="Calibri" w:hAnsi="Times New Roman" w:cs="Times New Roman"/>
        </w:rPr>
        <w:t xml:space="preserve"> </w:t>
      </w:r>
      <w:r w:rsidRPr="008573E4">
        <w:rPr>
          <w:rFonts w:ascii="Times New Roman" w:eastAsia="Calibri" w:hAnsi="Times New Roman" w:cs="Times New Roman"/>
        </w:rPr>
        <w:t>iesniedz dzimtsarakstu nodaļai šādus dokumentus:</w:t>
      </w:r>
    </w:p>
    <w:p w14:paraId="027C4065" w14:textId="77777777" w:rsidR="008573E4" w:rsidRDefault="008573E4" w:rsidP="00F801D2">
      <w:pPr>
        <w:numPr>
          <w:ilvl w:val="1"/>
          <w:numId w:val="5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>kopīgu iesniegumu (līdz 4.</w:t>
      </w:r>
      <w:r w:rsidR="00F801D2">
        <w:rPr>
          <w:rFonts w:ascii="Times New Roman" w:eastAsia="Calibri" w:hAnsi="Times New Roman" w:cs="Times New Roman"/>
        </w:rPr>
        <w:t xml:space="preserve"> </w:t>
      </w:r>
      <w:r w:rsidRPr="008573E4">
        <w:rPr>
          <w:rFonts w:ascii="Times New Roman" w:eastAsia="Calibri" w:hAnsi="Times New Roman" w:cs="Times New Roman"/>
        </w:rPr>
        <w:t>punktā minētā aicinājumā norādītajam datumam) klātienē</w:t>
      </w:r>
      <w:r w:rsidR="00F801D2">
        <w:rPr>
          <w:rFonts w:ascii="Times New Roman" w:eastAsia="Calibri" w:hAnsi="Times New Roman" w:cs="Times New Roman"/>
        </w:rPr>
        <w:t xml:space="preserve">, </w:t>
      </w:r>
      <w:r w:rsidRPr="008573E4">
        <w:rPr>
          <w:rFonts w:ascii="Times New Roman" w:eastAsia="Calibri" w:hAnsi="Times New Roman" w:cs="Times New Roman"/>
        </w:rPr>
        <w:t>dzimtsarakstu nodaļā</w:t>
      </w:r>
      <w:r w:rsidR="00F801D2">
        <w:rPr>
          <w:rFonts w:ascii="Times New Roman" w:eastAsia="Calibri" w:hAnsi="Times New Roman" w:cs="Times New Roman"/>
        </w:rPr>
        <w:t>,</w:t>
      </w:r>
      <w:r w:rsidRPr="008573E4">
        <w:rPr>
          <w:rFonts w:ascii="Times New Roman" w:eastAsia="Calibri" w:hAnsi="Times New Roman" w:cs="Times New Roman"/>
        </w:rPr>
        <w:t xml:space="preserve"> Gaujas iela 33A (324.</w:t>
      </w:r>
      <w:r w:rsidR="00681B1E">
        <w:rPr>
          <w:rFonts w:ascii="Times New Roman" w:eastAsia="Calibri" w:hAnsi="Times New Roman" w:cs="Times New Roman"/>
        </w:rPr>
        <w:t xml:space="preserve"> </w:t>
      </w:r>
      <w:r w:rsidRPr="008573E4">
        <w:rPr>
          <w:rFonts w:ascii="Times New Roman" w:eastAsia="Calibri" w:hAnsi="Times New Roman" w:cs="Times New Roman"/>
        </w:rPr>
        <w:t>kab.), Ādaži, Ādažu novads, vai Stacijas iela 5, Carnikava, Carnikavas pagasts, Ādažu novads, uzrādot personu apliecinošo dokumentu</w:t>
      </w:r>
      <w:r w:rsidR="00681B1E">
        <w:rPr>
          <w:rFonts w:ascii="Times New Roman" w:eastAsia="Calibri" w:hAnsi="Times New Roman" w:cs="Times New Roman"/>
        </w:rPr>
        <w:t>,</w:t>
      </w:r>
      <w:r w:rsidRPr="008573E4">
        <w:rPr>
          <w:rFonts w:ascii="Times New Roman" w:eastAsia="Calibri" w:hAnsi="Times New Roman" w:cs="Times New Roman"/>
        </w:rPr>
        <w:t xml:space="preserve"> vai elektroniski valsts pārvaldes pakalpojumu portālā </w:t>
      </w:r>
      <w:hyperlink r:id="rId10" w:history="1">
        <w:r w:rsidRPr="008573E4">
          <w:rPr>
            <w:rFonts w:ascii="Times New Roman" w:eastAsia="Calibri" w:hAnsi="Times New Roman" w:cs="Times New Roman"/>
            <w:color w:val="0563C1"/>
            <w:u w:val="single"/>
          </w:rPr>
          <w:t>www.latvija.gov.lv</w:t>
        </w:r>
      </w:hyperlink>
      <w:r w:rsidRPr="008573E4">
        <w:rPr>
          <w:rFonts w:ascii="Times New Roman" w:eastAsia="Calibri" w:hAnsi="Times New Roman" w:cs="Times New Roman"/>
        </w:rPr>
        <w:t xml:space="preserve">, izmantojot pašvaldības oficiālo e-adresi, vai ar drošu e-parakstu </w:t>
      </w:r>
      <w:r w:rsidRPr="008573E4">
        <w:rPr>
          <w:rFonts w:ascii="Times New Roman" w:eastAsia="Calibri" w:hAnsi="Times New Roman" w:cs="Times New Roman"/>
        </w:rPr>
        <w:lastRenderedPageBreak/>
        <w:t xml:space="preserve">parakstītu iesniegumu, nosūtot to uz elektronisko pasta adresi </w:t>
      </w:r>
      <w:hyperlink r:id="rId11" w:history="1">
        <w:r w:rsidRPr="008573E4">
          <w:rPr>
            <w:rFonts w:ascii="Times New Roman" w:eastAsia="Calibri" w:hAnsi="Times New Roman" w:cs="Times New Roman"/>
            <w:color w:val="0563C1"/>
            <w:u w:val="single"/>
          </w:rPr>
          <w:t>dzimtsaraksti@adazunovads.lv</w:t>
        </w:r>
      </w:hyperlink>
      <w:r w:rsidRPr="008573E4">
        <w:rPr>
          <w:rFonts w:ascii="Times New Roman" w:eastAsia="Calibri" w:hAnsi="Times New Roman" w:cs="Times New Roman"/>
        </w:rPr>
        <w:t>;</w:t>
      </w:r>
    </w:p>
    <w:p w14:paraId="73BF103F" w14:textId="77777777" w:rsidR="008573E4" w:rsidRPr="008573E4" w:rsidRDefault="008573E4" w:rsidP="00A21743">
      <w:pPr>
        <w:numPr>
          <w:ilvl w:val="1"/>
          <w:numId w:val="5"/>
        </w:numPr>
        <w:spacing w:after="200"/>
        <w:ind w:left="993" w:hanging="567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 xml:space="preserve"> pasākuma apmaksas apliecinošu dokumentu (ne vēlāk kā 5 (piecas) darbdiena</w:t>
      </w:r>
      <w:r w:rsidR="00597273">
        <w:rPr>
          <w:rFonts w:ascii="Times New Roman" w:eastAsia="Calibri" w:hAnsi="Times New Roman" w:cs="Times New Roman"/>
        </w:rPr>
        <w:t>s</w:t>
      </w:r>
      <w:r w:rsidRPr="008573E4">
        <w:rPr>
          <w:rFonts w:ascii="Times New Roman" w:eastAsia="Calibri" w:hAnsi="Times New Roman" w:cs="Times New Roman"/>
        </w:rPr>
        <w:t xml:space="preserve"> pirms pasākuma). Pasākuma apmaksas apmēru nosaka pašvaldības dome.</w:t>
      </w:r>
    </w:p>
    <w:p w14:paraId="03DF2B84" w14:textId="77777777" w:rsidR="00681B1E" w:rsidRDefault="00681B1E" w:rsidP="00F801D2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Laulāto pilnvarota persona var iesniegt 5.1. apakšpunktā minēto iesniegumu.</w:t>
      </w:r>
    </w:p>
    <w:p w14:paraId="23951D47" w14:textId="77777777" w:rsidR="008573E4" w:rsidRPr="008573E4" w:rsidRDefault="008573E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573E4">
        <w:rPr>
          <w:rFonts w:ascii="Times New Roman" w:eastAsia="Calibri" w:hAnsi="Times New Roman" w:cs="Times New Roman"/>
        </w:rPr>
        <w:t xml:space="preserve">Dzimtsarakstu nodaļa apkopo saņemtos iesniegumus, pārbauda personu deklarētās dzīvesvietas un laulību reģistrus Fizisko personu reģistra informācijas sistēmā un paziņo par pasākuma dienu, laiku un vietu, nosūtot laulātajiem ielūgumu uz pasākumu.  </w:t>
      </w:r>
    </w:p>
    <w:p w14:paraId="2A90FAB8" w14:textId="77777777" w:rsidR="008573E4" w:rsidRPr="008573E4" w:rsidRDefault="008573E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573E4">
        <w:rPr>
          <w:rFonts w:ascii="Times New Roman" w:eastAsia="Calibri" w:hAnsi="Times New Roman" w:cs="Times New Roman"/>
          <w:color w:val="000000"/>
        </w:rPr>
        <w:t xml:space="preserve">Dzimtsarakstu nodaļa organizē pasākumu līdz kārtējā gada beigām. </w:t>
      </w:r>
    </w:p>
    <w:p w14:paraId="16EF3B17" w14:textId="77777777" w:rsidR="008573E4" w:rsidRDefault="008573E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573E4">
        <w:rPr>
          <w:rFonts w:ascii="Times New Roman" w:eastAsia="Calibri" w:hAnsi="Times New Roman" w:cs="Times New Roman"/>
        </w:rPr>
        <w:t xml:space="preserve">Pasākuma laikā dzimtsarakstu nodaļa laulību jubilejas pārim pasniedz </w:t>
      </w:r>
      <w:r w:rsidRPr="008573E4">
        <w:rPr>
          <w:rFonts w:ascii="Times New Roman" w:eastAsia="Calibri" w:hAnsi="Times New Roman" w:cs="Times New Roman"/>
          <w:color w:val="000000"/>
        </w:rPr>
        <w:t xml:space="preserve">dāvanu. </w:t>
      </w:r>
    </w:p>
    <w:p w14:paraId="72BA9773" w14:textId="77777777" w:rsidR="00BB16A4" w:rsidRPr="008573E4" w:rsidRDefault="008573E4" w:rsidP="00A21743">
      <w:pPr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573E4">
        <w:rPr>
          <w:rFonts w:ascii="Times New Roman" w:eastAsia="Calibri" w:hAnsi="Times New Roman" w:cs="Times New Roman"/>
        </w:rPr>
        <w:t>Dāvanu iegādes izdevumus apmaksā no pašvaldības budžeta līdzekļiem. Dāvanu iegādi organizē dzimtsarakstu nodaļa pašvaldības domes noteiktajā kārtībā.</w:t>
      </w:r>
    </w:p>
    <w:p w14:paraId="7B511C85" w14:textId="77777777" w:rsidR="00310BC7" w:rsidRDefault="00310BC7" w:rsidP="00F801D2">
      <w:pPr>
        <w:jc w:val="both"/>
        <w:rPr>
          <w:rFonts w:ascii="Times New Roman" w:hAnsi="Times New Roman" w:cs="Times New Roman"/>
        </w:rPr>
      </w:pPr>
    </w:p>
    <w:p w14:paraId="71C0235C" w14:textId="77777777" w:rsidR="00310BC7" w:rsidRPr="00564CA6" w:rsidRDefault="00310BC7" w:rsidP="00F801D2">
      <w:pPr>
        <w:jc w:val="both"/>
        <w:rPr>
          <w:rFonts w:ascii="Times New Roman" w:hAnsi="Times New Roman" w:cs="Times New Roman"/>
        </w:rPr>
      </w:pPr>
    </w:p>
    <w:p w14:paraId="731962CD" w14:textId="77777777" w:rsidR="00564CA6" w:rsidRPr="00DD67D5" w:rsidRDefault="008573E4" w:rsidP="00F801D2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2FF03F58" w14:textId="77777777" w:rsidR="00DD67D5" w:rsidRPr="00DD67D5" w:rsidRDefault="00DD67D5" w:rsidP="00F801D2">
      <w:pPr>
        <w:jc w:val="both"/>
        <w:rPr>
          <w:rFonts w:ascii="Times New Roman" w:hAnsi="Times New Roman" w:cs="Times New Roman"/>
          <w:noProof/>
        </w:rPr>
      </w:pPr>
    </w:p>
    <w:p w14:paraId="2EBAE9F6" w14:textId="77777777" w:rsidR="00DD67D5" w:rsidRDefault="008573E4" w:rsidP="00F801D2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53AE57C9" w14:textId="77777777" w:rsidR="008573E4" w:rsidRDefault="008573E4" w:rsidP="00DD67D5">
      <w:pPr>
        <w:jc w:val="center"/>
        <w:rPr>
          <w:rFonts w:ascii="Times New Roman" w:eastAsia="Calibri" w:hAnsi="Times New Roman"/>
        </w:rPr>
      </w:pPr>
    </w:p>
    <w:p w14:paraId="626A968E" w14:textId="77777777" w:rsidR="008573E4" w:rsidRPr="008573E4" w:rsidRDefault="008573E4" w:rsidP="008573E4">
      <w:pPr>
        <w:rPr>
          <w:rFonts w:ascii="Times New Roman" w:eastAsia="Calibri" w:hAnsi="Times New Roman"/>
        </w:rPr>
      </w:pPr>
      <w:r w:rsidRPr="008573E4">
        <w:rPr>
          <w:rFonts w:ascii="Times New Roman" w:eastAsia="Calibri" w:hAnsi="Times New Roman"/>
        </w:rPr>
        <w:t>_____________</w:t>
      </w:r>
    </w:p>
    <w:p w14:paraId="2E1EABF0" w14:textId="77777777" w:rsidR="008573E4" w:rsidRDefault="008573E4" w:rsidP="008573E4">
      <w:pPr>
        <w:rPr>
          <w:rFonts w:ascii="Times New Roman" w:eastAsia="Calibri" w:hAnsi="Times New Roman"/>
          <w:i/>
        </w:rPr>
      </w:pPr>
      <w:r w:rsidRPr="008573E4">
        <w:rPr>
          <w:rFonts w:ascii="Times New Roman" w:eastAsia="Calibri" w:hAnsi="Times New Roman"/>
          <w:i/>
        </w:rPr>
        <w:t>DZN – @</w:t>
      </w:r>
    </w:p>
    <w:p w14:paraId="69B6F4AB" w14:textId="77777777" w:rsidR="008573E4" w:rsidRPr="008573E4" w:rsidRDefault="008573E4" w:rsidP="008573E4">
      <w:pPr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  <w:i/>
        </w:rPr>
        <w:t>FN - @</w:t>
      </w:r>
    </w:p>
    <w:p w14:paraId="2AD54633" w14:textId="77777777" w:rsidR="008573E4" w:rsidRPr="008573E4" w:rsidRDefault="008573E4" w:rsidP="008573E4">
      <w:pPr>
        <w:rPr>
          <w:rFonts w:ascii="Times New Roman" w:eastAsia="Calibri" w:hAnsi="Times New Roman"/>
          <w:i/>
        </w:rPr>
      </w:pPr>
      <w:r w:rsidRPr="008573E4">
        <w:rPr>
          <w:rFonts w:ascii="Times New Roman" w:eastAsia="Calibri" w:hAnsi="Times New Roman"/>
          <w:i/>
        </w:rPr>
        <w:t>GR - @</w:t>
      </w:r>
    </w:p>
    <w:p w14:paraId="52F2D297" w14:textId="77777777" w:rsidR="008573E4" w:rsidRDefault="008573E4" w:rsidP="008573E4">
      <w:pPr>
        <w:rPr>
          <w:rFonts w:ascii="Times New Roman" w:eastAsia="Calibri" w:hAnsi="Times New Roman"/>
          <w:i/>
        </w:rPr>
      </w:pPr>
      <w:r w:rsidRPr="008573E4">
        <w:rPr>
          <w:rFonts w:ascii="Times New Roman" w:eastAsia="Calibri" w:hAnsi="Times New Roman"/>
          <w:i/>
        </w:rPr>
        <w:t>ĀKC - @</w:t>
      </w:r>
    </w:p>
    <w:p w14:paraId="4885D04F" w14:textId="77777777" w:rsidR="008573E4" w:rsidRPr="008573E4" w:rsidRDefault="008573E4">
      <w:pPr>
        <w:rPr>
          <w:rFonts w:ascii="Times New Roman" w:eastAsia="Calibri" w:hAnsi="Times New Roman"/>
          <w:i/>
        </w:rPr>
      </w:pPr>
    </w:p>
    <w:sectPr w:rsidR="008573E4" w:rsidRPr="008573E4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ED93" w14:textId="77777777" w:rsidR="00971F94" w:rsidRDefault="00971F94">
      <w:r>
        <w:separator/>
      </w:r>
    </w:p>
  </w:endnote>
  <w:endnote w:type="continuationSeparator" w:id="0">
    <w:p w14:paraId="613A4545" w14:textId="77777777" w:rsidR="00971F94" w:rsidRDefault="0097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0818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235D8DA" w14:textId="77777777" w:rsidR="005C7FA1" w:rsidRPr="005C7FA1" w:rsidRDefault="008573E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6CD1B1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EDD1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0447FB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F3FCF" w14:textId="77777777" w:rsidR="00971F94" w:rsidRDefault="00971F94">
      <w:r>
        <w:separator/>
      </w:r>
    </w:p>
  </w:footnote>
  <w:footnote w:type="continuationSeparator" w:id="0">
    <w:p w14:paraId="72878F20" w14:textId="77777777" w:rsidR="00971F94" w:rsidRDefault="0097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9DF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9BC1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B2785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2ABBC" w:tentative="1">
      <w:start w:val="1"/>
      <w:numFmt w:val="lowerLetter"/>
      <w:lvlText w:val="%2."/>
      <w:lvlJc w:val="left"/>
      <w:pPr>
        <w:ind w:left="1440" w:hanging="360"/>
      </w:pPr>
    </w:lvl>
    <w:lvl w:ilvl="2" w:tplc="CA4E8972" w:tentative="1">
      <w:start w:val="1"/>
      <w:numFmt w:val="lowerRoman"/>
      <w:lvlText w:val="%3."/>
      <w:lvlJc w:val="right"/>
      <w:pPr>
        <w:ind w:left="2160" w:hanging="180"/>
      </w:pPr>
    </w:lvl>
    <w:lvl w:ilvl="3" w:tplc="734211C2" w:tentative="1">
      <w:start w:val="1"/>
      <w:numFmt w:val="decimal"/>
      <w:lvlText w:val="%4."/>
      <w:lvlJc w:val="left"/>
      <w:pPr>
        <w:ind w:left="2880" w:hanging="360"/>
      </w:pPr>
    </w:lvl>
    <w:lvl w:ilvl="4" w:tplc="9ED847E0" w:tentative="1">
      <w:start w:val="1"/>
      <w:numFmt w:val="lowerLetter"/>
      <w:lvlText w:val="%5."/>
      <w:lvlJc w:val="left"/>
      <w:pPr>
        <w:ind w:left="3600" w:hanging="360"/>
      </w:pPr>
    </w:lvl>
    <w:lvl w:ilvl="5" w:tplc="CF3248F2" w:tentative="1">
      <w:start w:val="1"/>
      <w:numFmt w:val="lowerRoman"/>
      <w:lvlText w:val="%6."/>
      <w:lvlJc w:val="right"/>
      <w:pPr>
        <w:ind w:left="4320" w:hanging="180"/>
      </w:pPr>
    </w:lvl>
    <w:lvl w:ilvl="6" w:tplc="BD3C46D8" w:tentative="1">
      <w:start w:val="1"/>
      <w:numFmt w:val="decimal"/>
      <w:lvlText w:val="%7."/>
      <w:lvlJc w:val="left"/>
      <w:pPr>
        <w:ind w:left="5040" w:hanging="360"/>
      </w:pPr>
    </w:lvl>
    <w:lvl w:ilvl="7" w:tplc="4E465170" w:tentative="1">
      <w:start w:val="1"/>
      <w:numFmt w:val="lowerLetter"/>
      <w:lvlText w:val="%8."/>
      <w:lvlJc w:val="left"/>
      <w:pPr>
        <w:ind w:left="5760" w:hanging="360"/>
      </w:pPr>
    </w:lvl>
    <w:lvl w:ilvl="8" w:tplc="B6A2D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F7A88B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55A9E12" w:tentative="1">
      <w:start w:val="1"/>
      <w:numFmt w:val="lowerLetter"/>
      <w:lvlText w:val="%2."/>
      <w:lvlJc w:val="left"/>
      <w:pPr>
        <w:ind w:left="1440" w:hanging="360"/>
      </w:pPr>
    </w:lvl>
    <w:lvl w:ilvl="2" w:tplc="9A32E104" w:tentative="1">
      <w:start w:val="1"/>
      <w:numFmt w:val="lowerRoman"/>
      <w:lvlText w:val="%3."/>
      <w:lvlJc w:val="right"/>
      <w:pPr>
        <w:ind w:left="2160" w:hanging="180"/>
      </w:pPr>
    </w:lvl>
    <w:lvl w:ilvl="3" w:tplc="15222D42" w:tentative="1">
      <w:start w:val="1"/>
      <w:numFmt w:val="decimal"/>
      <w:lvlText w:val="%4."/>
      <w:lvlJc w:val="left"/>
      <w:pPr>
        <w:ind w:left="2880" w:hanging="360"/>
      </w:pPr>
    </w:lvl>
    <w:lvl w:ilvl="4" w:tplc="AC68B8FA" w:tentative="1">
      <w:start w:val="1"/>
      <w:numFmt w:val="lowerLetter"/>
      <w:lvlText w:val="%5."/>
      <w:lvlJc w:val="left"/>
      <w:pPr>
        <w:ind w:left="3600" w:hanging="360"/>
      </w:pPr>
    </w:lvl>
    <w:lvl w:ilvl="5" w:tplc="C55E22AC" w:tentative="1">
      <w:start w:val="1"/>
      <w:numFmt w:val="lowerRoman"/>
      <w:lvlText w:val="%6."/>
      <w:lvlJc w:val="right"/>
      <w:pPr>
        <w:ind w:left="4320" w:hanging="180"/>
      </w:pPr>
    </w:lvl>
    <w:lvl w:ilvl="6" w:tplc="65389F00" w:tentative="1">
      <w:start w:val="1"/>
      <w:numFmt w:val="decimal"/>
      <w:lvlText w:val="%7."/>
      <w:lvlJc w:val="left"/>
      <w:pPr>
        <w:ind w:left="5040" w:hanging="360"/>
      </w:pPr>
    </w:lvl>
    <w:lvl w:ilvl="7" w:tplc="71764912" w:tentative="1">
      <w:start w:val="1"/>
      <w:numFmt w:val="lowerLetter"/>
      <w:lvlText w:val="%8."/>
      <w:lvlJc w:val="left"/>
      <w:pPr>
        <w:ind w:left="5760" w:hanging="360"/>
      </w:pPr>
    </w:lvl>
    <w:lvl w:ilvl="8" w:tplc="8812B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E7B68"/>
    <w:multiLevelType w:val="multilevel"/>
    <w:tmpl w:val="EA903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  <w:num w:numId="5" w16cid:durableId="1324120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1D15E2"/>
    <w:rsid w:val="0025391B"/>
    <w:rsid w:val="00297558"/>
    <w:rsid w:val="00310BC7"/>
    <w:rsid w:val="00351D48"/>
    <w:rsid w:val="004C33B2"/>
    <w:rsid w:val="004D516C"/>
    <w:rsid w:val="0053073B"/>
    <w:rsid w:val="00543508"/>
    <w:rsid w:val="00564A42"/>
    <w:rsid w:val="00564CA6"/>
    <w:rsid w:val="00597273"/>
    <w:rsid w:val="005C7FA1"/>
    <w:rsid w:val="00617AAC"/>
    <w:rsid w:val="00681B1E"/>
    <w:rsid w:val="00693F05"/>
    <w:rsid w:val="006D3451"/>
    <w:rsid w:val="0074092B"/>
    <w:rsid w:val="007B4DDB"/>
    <w:rsid w:val="008257F8"/>
    <w:rsid w:val="008573E4"/>
    <w:rsid w:val="009139A1"/>
    <w:rsid w:val="00971F94"/>
    <w:rsid w:val="00996740"/>
    <w:rsid w:val="009E353D"/>
    <w:rsid w:val="009E7512"/>
    <w:rsid w:val="00A21743"/>
    <w:rsid w:val="00A52B04"/>
    <w:rsid w:val="00B36CD4"/>
    <w:rsid w:val="00BB16A4"/>
    <w:rsid w:val="00C9477C"/>
    <w:rsid w:val="00CD15FD"/>
    <w:rsid w:val="00D86969"/>
    <w:rsid w:val="00DD67D5"/>
    <w:rsid w:val="00E52DA2"/>
    <w:rsid w:val="00E75D8D"/>
    <w:rsid w:val="00F7579B"/>
    <w:rsid w:val="00F801D2"/>
    <w:rsid w:val="00FA29A3"/>
    <w:rsid w:val="00FE79B0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D5A3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7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73E4"/>
    <w:rPr>
      <w:sz w:val="20"/>
      <w:szCs w:val="20"/>
    </w:rPr>
  </w:style>
  <w:style w:type="character" w:styleId="CommentReference">
    <w:name w:val="annotation reference"/>
    <w:uiPriority w:val="99"/>
    <w:semiHidden/>
    <w:rsid w:val="008573E4"/>
    <w:rPr>
      <w:sz w:val="16"/>
      <w:szCs w:val="16"/>
    </w:rPr>
  </w:style>
  <w:style w:type="paragraph" w:styleId="Revision">
    <w:name w:val="Revision"/>
    <w:hidden/>
    <w:uiPriority w:val="99"/>
    <w:semiHidden/>
    <w:rsid w:val="00F8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imtsaraksti@adazu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atvija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AB28-733B-4527-8F27-582239F1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1911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2024-05-24T05:38:00Z</dcterms:created>
  <dcterms:modified xsi:type="dcterms:W3CDTF">2024-05-24T05:38:00Z</dcterms:modified>
</cp:coreProperties>
</file>