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Pr="00807D6F" w:rsidRDefault="004E4631" w:rsidP="00564CA6">
      <w:r w:rsidRPr="00807D6F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807D6F" w:rsidRDefault="004E4631" w:rsidP="00807D6F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07D6F">
        <w:rPr>
          <w:rFonts w:ascii="Times New Roman" w:hAnsi="Times New Roman" w:cs="Times New Roman"/>
          <w:noProof/>
          <w:sz w:val="28"/>
          <w:szCs w:val="28"/>
        </w:rPr>
        <w:tab/>
      </w:r>
      <w:r w:rsidRPr="00807D6F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807D6F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807D6F" w:rsidRDefault="004E4631" w:rsidP="00807D6F">
      <w:pPr>
        <w:jc w:val="center"/>
        <w:rPr>
          <w:rFonts w:ascii="Times New Roman" w:hAnsi="Times New Roman" w:cs="Times New Roman"/>
          <w:noProof/>
        </w:rPr>
      </w:pPr>
      <w:r w:rsidRPr="00807D6F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807D6F" w:rsidRDefault="004E4631" w:rsidP="00807D6F">
      <w:pPr>
        <w:rPr>
          <w:rFonts w:ascii="Times New Roman" w:hAnsi="Times New Roman" w:cs="Times New Roman"/>
        </w:rPr>
      </w:pP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</w:p>
    <w:p w14:paraId="513E1B4D" w14:textId="571A5CA8" w:rsidR="00564CA6" w:rsidRPr="00807D6F" w:rsidRDefault="004E4631" w:rsidP="00807D6F">
      <w:pPr>
        <w:rPr>
          <w:rFonts w:ascii="Times New Roman" w:hAnsi="Times New Roman" w:cs="Times New Roman"/>
        </w:rPr>
      </w:pPr>
      <w:r w:rsidRPr="00807D6F">
        <w:rPr>
          <w:rFonts w:ascii="Times New Roman" w:hAnsi="Times New Roman" w:cs="Times New Roman"/>
        </w:rPr>
        <w:t>202</w:t>
      </w:r>
      <w:r w:rsidR="006B6A15" w:rsidRPr="00807D6F">
        <w:rPr>
          <w:rFonts w:ascii="Times New Roman" w:hAnsi="Times New Roman" w:cs="Times New Roman"/>
        </w:rPr>
        <w:t>5</w:t>
      </w:r>
      <w:r w:rsidRPr="00807D6F">
        <w:rPr>
          <w:rFonts w:ascii="Times New Roman" w:hAnsi="Times New Roman" w:cs="Times New Roman"/>
        </w:rPr>
        <w:t xml:space="preserve">. gada </w:t>
      </w:r>
      <w:r w:rsidR="006B6A15" w:rsidRPr="00807D6F">
        <w:rPr>
          <w:rFonts w:ascii="Times New Roman" w:hAnsi="Times New Roman" w:cs="Times New Roman"/>
        </w:rPr>
        <w:t>30.</w:t>
      </w:r>
      <w:r w:rsidR="00953EAB" w:rsidRPr="00807D6F">
        <w:rPr>
          <w:rFonts w:ascii="Times New Roman" w:hAnsi="Times New Roman" w:cs="Times New Roman"/>
        </w:rPr>
        <w:t xml:space="preserve"> </w:t>
      </w:r>
      <w:r w:rsidR="006B6A15" w:rsidRPr="00807D6F">
        <w:rPr>
          <w:rFonts w:ascii="Times New Roman" w:hAnsi="Times New Roman" w:cs="Times New Roman"/>
        </w:rPr>
        <w:t>janvārī</w:t>
      </w:r>
      <w:r w:rsidRPr="00807D6F">
        <w:rPr>
          <w:rFonts w:ascii="Times New Roman" w:hAnsi="Times New Roman" w:cs="Times New Roman"/>
        </w:rPr>
        <w:t xml:space="preserve"> </w:t>
      </w:r>
      <w:r w:rsidRPr="00807D6F">
        <w:rPr>
          <w:rFonts w:ascii="Times New Roman" w:hAnsi="Times New Roman" w:cs="Times New Roman"/>
        </w:rPr>
        <w:tab/>
      </w:r>
      <w:r w:rsidRPr="00807D6F">
        <w:rPr>
          <w:rFonts w:ascii="Times New Roman" w:hAnsi="Times New Roman" w:cs="Times New Roman"/>
        </w:rPr>
        <w:tab/>
      </w:r>
      <w:r w:rsidRPr="00807D6F">
        <w:rPr>
          <w:rFonts w:ascii="Times New Roman" w:hAnsi="Times New Roman" w:cs="Times New Roman"/>
        </w:rPr>
        <w:tab/>
      </w:r>
      <w:r w:rsidRPr="00807D6F">
        <w:rPr>
          <w:rFonts w:ascii="Times New Roman" w:hAnsi="Times New Roman" w:cs="Times New Roman"/>
        </w:rPr>
        <w:tab/>
      </w:r>
      <w:r w:rsidRPr="00807D6F">
        <w:rPr>
          <w:rFonts w:ascii="Times New Roman" w:hAnsi="Times New Roman" w:cs="Times New Roman"/>
        </w:rPr>
        <w:tab/>
      </w:r>
      <w:r w:rsidR="00807D6F" w:rsidRPr="00807D6F">
        <w:rPr>
          <w:rFonts w:ascii="Times New Roman" w:hAnsi="Times New Roman" w:cs="Times New Roman"/>
        </w:rPr>
        <w:tab/>
      </w:r>
      <w:r w:rsidR="00807D6F" w:rsidRPr="00807D6F">
        <w:rPr>
          <w:rFonts w:ascii="Times New Roman" w:hAnsi="Times New Roman" w:cs="Times New Roman"/>
        </w:rPr>
        <w:tab/>
      </w:r>
      <w:r w:rsidR="00807D6F" w:rsidRPr="00807D6F">
        <w:rPr>
          <w:rFonts w:ascii="Times New Roman" w:hAnsi="Times New Roman" w:cs="Times New Roman"/>
        </w:rPr>
        <w:tab/>
      </w:r>
      <w:r w:rsidRPr="00807D6F">
        <w:rPr>
          <w:rFonts w:ascii="Times New Roman" w:hAnsi="Times New Roman" w:cs="Times New Roman"/>
          <w:b/>
        </w:rPr>
        <w:t>Nr.</w:t>
      </w:r>
      <w:r w:rsidR="00807D6F" w:rsidRPr="00807D6F">
        <w:rPr>
          <w:rFonts w:ascii="Times New Roman" w:hAnsi="Times New Roman" w:cs="Times New Roman"/>
          <w:noProof/>
        </w:rPr>
        <w:t xml:space="preserve"> </w:t>
      </w:r>
      <w:r w:rsidRPr="00807D6F">
        <w:rPr>
          <w:rFonts w:ascii="Times New Roman" w:hAnsi="Times New Roman" w:cs="Times New Roman"/>
          <w:b/>
          <w:bCs/>
          <w:noProof/>
        </w:rPr>
        <w:t>21</w:t>
      </w:r>
      <w:r w:rsidRPr="00807D6F">
        <w:rPr>
          <w:rFonts w:ascii="Times New Roman" w:hAnsi="Times New Roman" w:cs="Times New Roman"/>
        </w:rPr>
        <w:tab/>
      </w:r>
    </w:p>
    <w:p w14:paraId="56AA4385" w14:textId="77777777" w:rsidR="00564CA6" w:rsidRPr="00807D6F" w:rsidRDefault="00564CA6" w:rsidP="00807D6F">
      <w:pPr>
        <w:rPr>
          <w:rFonts w:ascii="Times New Roman" w:hAnsi="Times New Roman" w:cs="Times New Roman"/>
          <w:b/>
        </w:rPr>
      </w:pPr>
    </w:p>
    <w:p w14:paraId="30B1E389" w14:textId="4A6D531E" w:rsidR="006B6A15" w:rsidRPr="00807D6F" w:rsidRDefault="004E4631" w:rsidP="00807D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07D6F">
        <w:rPr>
          <w:rFonts w:ascii="Times New Roman" w:eastAsia="Calibri" w:hAnsi="Times New Roman" w:cs="Times New Roman"/>
          <w:b/>
          <w:bCs/>
          <w:color w:val="000000"/>
        </w:rPr>
        <w:t xml:space="preserve">Par </w:t>
      </w:r>
      <w:r w:rsidRPr="00807D6F">
        <w:rPr>
          <w:rFonts w:ascii="Times New Roman" w:eastAsia="Calibri" w:hAnsi="Times New Roman" w:cs="Times New Roman"/>
          <w:b/>
          <w:bCs/>
          <w:color w:val="000000"/>
        </w:rPr>
        <w:t xml:space="preserve">centralizēto notekūdeņu attīrīšanas </w:t>
      </w:r>
      <w:r w:rsidR="00953EAB" w:rsidRPr="00807D6F">
        <w:rPr>
          <w:rFonts w:ascii="Times New Roman" w:eastAsia="Calibri" w:hAnsi="Times New Roman" w:cs="Times New Roman"/>
          <w:b/>
          <w:bCs/>
          <w:color w:val="000000"/>
        </w:rPr>
        <w:t xml:space="preserve">sistēmas </w:t>
      </w:r>
      <w:r w:rsidRPr="00807D6F">
        <w:rPr>
          <w:rFonts w:ascii="Times New Roman" w:eastAsia="Calibri" w:hAnsi="Times New Roman" w:cs="Times New Roman"/>
          <w:b/>
          <w:bCs/>
          <w:color w:val="000000"/>
        </w:rPr>
        <w:t>paplašināšanu</w:t>
      </w:r>
      <w:r w:rsidRPr="00807D6F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807D6F">
        <w:rPr>
          <w:rFonts w:ascii="Times New Roman" w:eastAsia="Calibri" w:hAnsi="Times New Roman" w:cs="Times New Roman"/>
          <w:b/>
          <w:bCs/>
          <w:color w:val="000000"/>
        </w:rPr>
        <w:t>Kalngalē</w:t>
      </w:r>
      <w:proofErr w:type="spellEnd"/>
    </w:p>
    <w:p w14:paraId="38A0308C" w14:textId="77777777" w:rsidR="00807D6F" w:rsidRPr="00807D6F" w:rsidRDefault="00807D6F" w:rsidP="00807D6F">
      <w:pPr>
        <w:jc w:val="both"/>
        <w:rPr>
          <w:rFonts w:ascii="Times New Roman" w:eastAsia="Calibri" w:hAnsi="Times New Roman" w:cs="Times New Roman"/>
        </w:rPr>
      </w:pPr>
    </w:p>
    <w:p w14:paraId="57FB09B2" w14:textId="40F60164" w:rsidR="006B6A15" w:rsidRPr="00807D6F" w:rsidRDefault="004E4631" w:rsidP="00807D6F">
      <w:pPr>
        <w:jc w:val="both"/>
        <w:rPr>
          <w:rFonts w:ascii="Times New Roman" w:eastAsia="Calibri" w:hAnsi="Times New Roman" w:cs="Times New Roman"/>
        </w:rPr>
      </w:pP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ciemā izvietoto centralizētās kanalizācijas notekūdeņu attīrīšanas iekārtu (NAI) pārstrādājamo notekūdeņu apjoms šobrīd pārsniedz </w:t>
      </w:r>
      <w:r w:rsidR="00953EAB" w:rsidRPr="00807D6F">
        <w:rPr>
          <w:rFonts w:ascii="Times New Roman" w:eastAsia="Calibri" w:hAnsi="Times New Roman" w:cs="Times New Roman"/>
        </w:rPr>
        <w:t xml:space="preserve">NAI noteikto </w:t>
      </w:r>
      <w:r w:rsidRPr="00807D6F">
        <w:rPr>
          <w:rFonts w:ascii="Times New Roman" w:eastAsia="Calibri" w:hAnsi="Times New Roman" w:cs="Times New Roman"/>
        </w:rPr>
        <w:t>hidraulisko slodzi. 2024. gada astoņos mēnešos pieņemto notekūdeņu apjoms par 20,5 tūkst. m</w:t>
      </w:r>
      <w:r w:rsidRPr="00807D6F">
        <w:rPr>
          <w:rFonts w:ascii="Times New Roman" w:eastAsia="Calibri" w:hAnsi="Times New Roman" w:cs="Times New Roman"/>
          <w:vertAlign w:val="superscript"/>
        </w:rPr>
        <w:t>3</w:t>
      </w:r>
      <w:r w:rsidRPr="00807D6F">
        <w:rPr>
          <w:rFonts w:ascii="Times New Roman" w:eastAsia="Calibri" w:hAnsi="Times New Roman" w:cs="Times New Roman"/>
        </w:rPr>
        <w:t xml:space="preserve">, jeb par </w:t>
      </w:r>
      <w:r w:rsidRPr="00807D6F">
        <w:rPr>
          <w:rFonts w:ascii="Times New Roman" w:eastAsia="Calibri" w:hAnsi="Times New Roman" w:cs="Times New Roman"/>
        </w:rPr>
        <w:t>40 %</w:t>
      </w:r>
      <w:r w:rsidRPr="00807D6F">
        <w:rPr>
          <w:rFonts w:ascii="Times New Roman" w:eastAsia="Calibri" w:hAnsi="Times New Roman" w:cs="Times New Roman"/>
        </w:rPr>
        <w:t xml:space="preserve"> pārsn</w:t>
      </w:r>
      <w:r w:rsidRPr="00807D6F">
        <w:rPr>
          <w:rFonts w:ascii="Times New Roman" w:eastAsia="Calibri" w:hAnsi="Times New Roman" w:cs="Times New Roman"/>
        </w:rPr>
        <w:t>iedz</w:t>
      </w:r>
      <w:r w:rsidR="00953EAB" w:rsidRPr="00807D6F">
        <w:rPr>
          <w:rFonts w:ascii="Times New Roman" w:eastAsia="Calibri" w:hAnsi="Times New Roman" w:cs="Times New Roman"/>
        </w:rPr>
        <w:t>a</w:t>
      </w:r>
      <w:r w:rsidRPr="00807D6F">
        <w:rPr>
          <w:rFonts w:ascii="Times New Roman" w:eastAsia="Calibri" w:hAnsi="Times New Roman" w:cs="Times New Roman"/>
        </w:rPr>
        <w:t xml:space="preserve"> pieļaujamo apjomu, bet tehniskie un teritorijas apbūves noteikumi paredz, ka visi </w:t>
      </w:r>
      <w:proofErr w:type="spellStart"/>
      <w:r w:rsidRPr="00807D6F">
        <w:rPr>
          <w:rFonts w:ascii="Times New Roman" w:eastAsia="Calibri" w:hAnsi="Times New Roman" w:cs="Times New Roman"/>
        </w:rPr>
        <w:t>jaunbūvējamie</w:t>
      </w:r>
      <w:proofErr w:type="spellEnd"/>
      <w:r w:rsidRPr="00807D6F">
        <w:rPr>
          <w:rFonts w:ascii="Times New Roman" w:eastAsia="Calibri" w:hAnsi="Times New Roman" w:cs="Times New Roman"/>
        </w:rPr>
        <w:t xml:space="preserve"> objekti </w:t>
      </w: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="00953EAB" w:rsidRPr="00807D6F">
        <w:rPr>
          <w:rFonts w:ascii="Times New Roman" w:eastAsia="Calibri" w:hAnsi="Times New Roman" w:cs="Times New Roman"/>
        </w:rPr>
        <w:t xml:space="preserve"> un</w:t>
      </w:r>
      <w:r w:rsidRPr="00807D6F">
        <w:rPr>
          <w:rFonts w:ascii="Times New Roman" w:eastAsia="Calibri" w:hAnsi="Times New Roman" w:cs="Times New Roman"/>
        </w:rPr>
        <w:t xml:space="preserve"> </w:t>
      </w:r>
      <w:proofErr w:type="spellStart"/>
      <w:r w:rsidRPr="00807D6F">
        <w:rPr>
          <w:rFonts w:ascii="Times New Roman" w:eastAsia="Calibri" w:hAnsi="Times New Roman" w:cs="Times New Roman"/>
        </w:rPr>
        <w:t>Garciema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ciemos ir nododami ekspluatācijā tikai pēc to pieslēgšanas centralizētajiem kanalizācijas tīkliem. </w:t>
      </w:r>
    </w:p>
    <w:p w14:paraId="54AFDCD0" w14:textId="790DE269" w:rsidR="006B6A15" w:rsidRPr="00807D6F" w:rsidRDefault="004E4631" w:rsidP="0030709F">
      <w:pPr>
        <w:spacing w:before="120"/>
        <w:jc w:val="both"/>
        <w:rPr>
          <w:rFonts w:ascii="Times New Roman" w:eastAsia="Calibri" w:hAnsi="Times New Roman" w:cs="Times New Roman"/>
        </w:rPr>
      </w:pP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ciemā turpinās</w:t>
      </w:r>
      <w:r w:rsidRPr="00807D6F">
        <w:rPr>
          <w:rFonts w:ascii="Times New Roman" w:eastAsia="Calibri" w:hAnsi="Times New Roman" w:cs="Times New Roman"/>
        </w:rPr>
        <w:t xml:space="preserve"> jaunu attīstības projektu īstenošana, piemēram, īpašumos “Domas” un “</w:t>
      </w:r>
      <w:proofErr w:type="spellStart"/>
      <w:r w:rsidRPr="00807D6F">
        <w:rPr>
          <w:rFonts w:ascii="Times New Roman" w:eastAsia="Calibri" w:hAnsi="Times New Roman" w:cs="Times New Roman"/>
        </w:rPr>
        <w:t>Langaskrasti</w:t>
      </w:r>
      <w:proofErr w:type="spellEnd"/>
      <w:r w:rsidRPr="00807D6F">
        <w:rPr>
          <w:rFonts w:ascii="Times New Roman" w:eastAsia="Calibri" w:hAnsi="Times New Roman" w:cs="Times New Roman"/>
        </w:rPr>
        <w:t xml:space="preserve"> 2” jau ir</w:t>
      </w:r>
      <w:r w:rsidR="00953EAB" w:rsidRPr="00807D6F">
        <w:rPr>
          <w:rFonts w:ascii="Times New Roman" w:eastAsia="Calibri" w:hAnsi="Times New Roman" w:cs="Times New Roman"/>
        </w:rPr>
        <w:t xml:space="preserve"> uzbūvēti</w:t>
      </w:r>
      <w:r w:rsidRPr="00807D6F">
        <w:rPr>
          <w:rFonts w:ascii="Times New Roman" w:eastAsia="Calibri" w:hAnsi="Times New Roman" w:cs="Times New Roman"/>
        </w:rPr>
        <w:t xml:space="preserve"> ekspluatācijā nododami objekti, </w:t>
      </w:r>
      <w:r w:rsidR="00953EAB" w:rsidRPr="00807D6F">
        <w:rPr>
          <w:rFonts w:ascii="Times New Roman" w:eastAsia="Calibri" w:hAnsi="Times New Roman" w:cs="Times New Roman"/>
        </w:rPr>
        <w:t>kā arī</w:t>
      </w:r>
      <w:r w:rsidRPr="00807D6F">
        <w:rPr>
          <w:rFonts w:ascii="Times New Roman" w:eastAsia="Calibri" w:hAnsi="Times New Roman" w:cs="Times New Roman"/>
        </w:rPr>
        <w:t xml:space="preserve"> turpinās citu objektu būvniecība un </w:t>
      </w: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NAI esošās jaudas faktiski nespēj nodrošināt </w:t>
      </w:r>
      <w:r w:rsidR="00953EAB" w:rsidRPr="00807D6F">
        <w:rPr>
          <w:rFonts w:ascii="Times New Roman" w:eastAsia="Calibri" w:hAnsi="Times New Roman" w:cs="Times New Roman"/>
        </w:rPr>
        <w:t xml:space="preserve">papildu </w:t>
      </w:r>
      <w:r w:rsidRPr="00807D6F">
        <w:rPr>
          <w:rFonts w:ascii="Times New Roman" w:eastAsia="Calibri" w:hAnsi="Times New Roman" w:cs="Times New Roman"/>
        </w:rPr>
        <w:t>notekūdeņu apstr</w:t>
      </w:r>
      <w:r w:rsidRPr="00807D6F">
        <w:rPr>
          <w:rFonts w:ascii="Times New Roman" w:eastAsia="Calibri" w:hAnsi="Times New Roman" w:cs="Times New Roman"/>
        </w:rPr>
        <w:t xml:space="preserve">ādi. </w:t>
      </w:r>
    </w:p>
    <w:p w14:paraId="79B6E7A8" w14:textId="4695F040" w:rsidR="006B6A15" w:rsidRPr="00807D6F" w:rsidRDefault="004E4631" w:rsidP="0030709F">
      <w:pPr>
        <w:spacing w:before="120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 xml:space="preserve">Teritorijas attīstības plānošanas dokumenti </w:t>
      </w:r>
      <w:r w:rsidR="00953EAB" w:rsidRPr="00807D6F">
        <w:rPr>
          <w:rFonts w:ascii="Times New Roman" w:eastAsia="Calibri" w:hAnsi="Times New Roman" w:cs="Times New Roman"/>
        </w:rPr>
        <w:t>pieļauj</w:t>
      </w:r>
      <w:r w:rsidRPr="00807D6F">
        <w:rPr>
          <w:rFonts w:ascii="Times New Roman" w:eastAsia="Calibri" w:hAnsi="Times New Roman" w:cs="Times New Roman"/>
        </w:rPr>
        <w:t xml:space="preserve">, ka </w:t>
      </w:r>
      <w:proofErr w:type="spellStart"/>
      <w:r w:rsidRPr="00807D6F">
        <w:rPr>
          <w:rFonts w:ascii="Times New Roman" w:eastAsia="Calibri" w:hAnsi="Times New Roman" w:cs="Times New Roman"/>
        </w:rPr>
        <w:t>Kalngal</w:t>
      </w:r>
      <w:r w:rsidR="00953EAB" w:rsidRPr="00807D6F">
        <w:rPr>
          <w:rFonts w:ascii="Times New Roman" w:eastAsia="Calibri" w:hAnsi="Times New Roman" w:cs="Times New Roman"/>
        </w:rPr>
        <w:t>e</w:t>
      </w:r>
      <w:r w:rsidRPr="00807D6F">
        <w:rPr>
          <w:rFonts w:ascii="Times New Roman" w:eastAsia="Calibri" w:hAnsi="Times New Roman" w:cs="Times New Roman"/>
        </w:rPr>
        <w:t>s</w:t>
      </w:r>
      <w:proofErr w:type="spellEnd"/>
      <w:r w:rsidRPr="00807D6F">
        <w:rPr>
          <w:rFonts w:ascii="Times New Roman" w:eastAsia="Calibri" w:hAnsi="Times New Roman" w:cs="Times New Roman"/>
        </w:rPr>
        <w:t xml:space="preserve"> un </w:t>
      </w:r>
      <w:proofErr w:type="spellStart"/>
      <w:r w:rsidRPr="00807D6F">
        <w:rPr>
          <w:rFonts w:ascii="Times New Roman" w:eastAsia="Calibri" w:hAnsi="Times New Roman" w:cs="Times New Roman"/>
        </w:rPr>
        <w:t>Garciema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ciemos </w:t>
      </w:r>
      <w:r w:rsidR="00953EAB" w:rsidRPr="00807D6F">
        <w:rPr>
          <w:rFonts w:ascii="Times New Roman" w:eastAsia="Calibri" w:hAnsi="Times New Roman" w:cs="Times New Roman"/>
        </w:rPr>
        <w:t xml:space="preserve">arī </w:t>
      </w:r>
      <w:r w:rsidRPr="00807D6F">
        <w:rPr>
          <w:rFonts w:ascii="Times New Roman" w:eastAsia="Calibri" w:hAnsi="Times New Roman" w:cs="Times New Roman"/>
        </w:rPr>
        <w:t>turpmāk tiks īstenot</w:t>
      </w:r>
      <w:r w:rsidR="00953EAB" w:rsidRPr="00807D6F">
        <w:rPr>
          <w:rFonts w:ascii="Times New Roman" w:eastAsia="Calibri" w:hAnsi="Times New Roman" w:cs="Times New Roman"/>
        </w:rPr>
        <w:t>s</w:t>
      </w:r>
      <w:r w:rsidRPr="00807D6F">
        <w:rPr>
          <w:rFonts w:ascii="Times New Roman" w:eastAsia="Calibri" w:hAnsi="Times New Roman" w:cs="Times New Roman"/>
        </w:rPr>
        <w:t xml:space="preserve"> būtisks skaits attīstības projektu, </w:t>
      </w:r>
      <w:r w:rsidR="00953EAB" w:rsidRPr="00807D6F">
        <w:rPr>
          <w:rFonts w:ascii="Times New Roman" w:eastAsia="Calibri" w:hAnsi="Times New Roman" w:cs="Times New Roman"/>
        </w:rPr>
        <w:t xml:space="preserve">un to </w:t>
      </w:r>
      <w:r w:rsidRPr="00807D6F">
        <w:rPr>
          <w:rFonts w:ascii="Times New Roman" w:eastAsia="Calibri" w:hAnsi="Times New Roman" w:cs="Times New Roman"/>
        </w:rPr>
        <w:t xml:space="preserve">radīto notekūdeņu </w:t>
      </w:r>
      <w:r w:rsidR="00953EAB" w:rsidRPr="00807D6F">
        <w:rPr>
          <w:rFonts w:ascii="Times New Roman" w:eastAsia="Calibri" w:hAnsi="Times New Roman" w:cs="Times New Roman"/>
        </w:rPr>
        <w:t xml:space="preserve">prognozētais </w:t>
      </w:r>
      <w:r w:rsidRPr="00807D6F">
        <w:rPr>
          <w:rFonts w:ascii="Times New Roman" w:eastAsia="Calibri" w:hAnsi="Times New Roman" w:cs="Times New Roman"/>
        </w:rPr>
        <w:t xml:space="preserve">apjoms </w:t>
      </w:r>
      <w:r w:rsidR="00953EAB" w:rsidRPr="00807D6F">
        <w:rPr>
          <w:rFonts w:ascii="Times New Roman" w:eastAsia="Calibri" w:hAnsi="Times New Roman" w:cs="Times New Roman"/>
        </w:rPr>
        <w:t>ir</w:t>
      </w:r>
      <w:r w:rsidRPr="00807D6F">
        <w:rPr>
          <w:rFonts w:ascii="Times New Roman" w:eastAsia="Calibri" w:hAnsi="Times New Roman" w:cs="Times New Roman"/>
        </w:rPr>
        <w:t xml:space="preserve"> līdz 300 m</w:t>
      </w:r>
      <w:r w:rsidRPr="00807D6F">
        <w:rPr>
          <w:rFonts w:ascii="Times New Roman" w:eastAsia="Calibri" w:hAnsi="Times New Roman" w:cs="Times New Roman"/>
          <w:vertAlign w:val="superscript"/>
        </w:rPr>
        <w:t xml:space="preserve">3 </w:t>
      </w:r>
      <w:r w:rsidRPr="00807D6F">
        <w:rPr>
          <w:rFonts w:ascii="Times New Roman" w:eastAsia="Calibri" w:hAnsi="Times New Roman" w:cs="Times New Roman"/>
        </w:rPr>
        <w:t>diennaktī</w:t>
      </w:r>
      <w:r w:rsidRPr="00807D6F">
        <w:t>.</w:t>
      </w:r>
      <w:r w:rsidRPr="00807D6F">
        <w:rPr>
          <w:rFonts w:ascii="Times New Roman" w:eastAsia="Calibri" w:hAnsi="Times New Roman" w:cs="Times New Roman"/>
          <w:vertAlign w:val="superscript"/>
        </w:rPr>
        <w:t xml:space="preserve"> </w:t>
      </w:r>
      <w:r w:rsidRPr="00807D6F">
        <w:rPr>
          <w:rFonts w:ascii="Times New Roman" w:eastAsia="Calibri" w:hAnsi="Times New Roman" w:cs="Times New Roman"/>
        </w:rPr>
        <w:t xml:space="preserve"> </w:t>
      </w:r>
    </w:p>
    <w:p w14:paraId="78E21EE6" w14:textId="384769BC" w:rsidR="006B6A15" w:rsidRPr="00807D6F" w:rsidRDefault="004E4631" w:rsidP="0030709F">
      <w:pPr>
        <w:spacing w:before="120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>SIA “Ādažu ūdens” veic</w:t>
      </w:r>
      <w:r w:rsidR="00953EAB" w:rsidRPr="00807D6F">
        <w:rPr>
          <w:rFonts w:ascii="Times New Roman" w:eastAsia="Calibri" w:hAnsi="Times New Roman" w:cs="Times New Roman"/>
        </w:rPr>
        <w:t>a</w:t>
      </w:r>
      <w:r w:rsidRPr="00807D6F">
        <w:rPr>
          <w:rFonts w:ascii="Times New Roman" w:eastAsia="Calibri" w:hAnsi="Times New Roman" w:cs="Times New Roman"/>
        </w:rPr>
        <w:t xml:space="preserve"> tehniski ekonomisko novērtējumu iespējamiem risinājumiem, lai nodrošinātu notekūdeņu pieņemšanu un attīrīšanu gan no </w:t>
      </w: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un </w:t>
      </w:r>
      <w:proofErr w:type="spellStart"/>
      <w:r w:rsidRPr="00807D6F">
        <w:rPr>
          <w:rFonts w:ascii="Times New Roman" w:eastAsia="Calibri" w:hAnsi="Times New Roman" w:cs="Times New Roman"/>
        </w:rPr>
        <w:t>Garciema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ciemos ekspluatācijā nodotajiem objektiem, gan </w:t>
      </w:r>
      <w:r w:rsidR="00953EAB" w:rsidRPr="00807D6F">
        <w:rPr>
          <w:rFonts w:ascii="Times New Roman" w:eastAsia="Calibri" w:hAnsi="Times New Roman" w:cs="Times New Roman"/>
        </w:rPr>
        <w:t xml:space="preserve">arī </w:t>
      </w:r>
      <w:r w:rsidRPr="00807D6F">
        <w:rPr>
          <w:rFonts w:ascii="Times New Roman" w:eastAsia="Calibri" w:hAnsi="Times New Roman" w:cs="Times New Roman"/>
        </w:rPr>
        <w:t xml:space="preserve">no </w:t>
      </w:r>
      <w:r w:rsidR="00953EAB" w:rsidRPr="00807D6F">
        <w:rPr>
          <w:rFonts w:ascii="Times New Roman" w:eastAsia="Calibri" w:hAnsi="Times New Roman" w:cs="Times New Roman"/>
        </w:rPr>
        <w:t>turpmāk</w:t>
      </w:r>
      <w:r w:rsidRPr="00807D6F">
        <w:rPr>
          <w:rFonts w:ascii="Times New Roman" w:eastAsia="Calibri" w:hAnsi="Times New Roman" w:cs="Times New Roman"/>
        </w:rPr>
        <w:t xml:space="preserve"> attīstāmajiem objektiem, </w:t>
      </w:r>
      <w:r w:rsidR="00953EAB" w:rsidRPr="00807D6F">
        <w:rPr>
          <w:rFonts w:ascii="Times New Roman" w:eastAsia="Calibri" w:hAnsi="Times New Roman" w:cs="Times New Roman"/>
        </w:rPr>
        <w:t>paredzot</w:t>
      </w:r>
      <w:r w:rsidRPr="00807D6F">
        <w:rPr>
          <w:rFonts w:ascii="Times New Roman" w:eastAsia="Calibri" w:hAnsi="Times New Roman" w:cs="Times New Roman"/>
        </w:rPr>
        <w:t xml:space="preserve"> </w:t>
      </w:r>
      <w:r w:rsidR="00E46836" w:rsidRPr="00807D6F">
        <w:rPr>
          <w:rFonts w:ascii="Times New Roman" w:eastAsia="Calibri" w:hAnsi="Times New Roman" w:cs="Times New Roman"/>
        </w:rPr>
        <w:t>3</w:t>
      </w:r>
      <w:r w:rsidR="00DE4A3E"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>iespējamos risināj</w:t>
      </w:r>
      <w:r w:rsidRPr="00807D6F">
        <w:rPr>
          <w:rFonts w:ascii="Times New Roman" w:eastAsia="Calibri" w:hAnsi="Times New Roman" w:cs="Times New Roman"/>
        </w:rPr>
        <w:t xml:space="preserve">umus: </w:t>
      </w:r>
    </w:p>
    <w:p w14:paraId="15C85BF6" w14:textId="3BE8D14B" w:rsidR="006B6A15" w:rsidRPr="00807D6F" w:rsidRDefault="004E4631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Kalngales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NAI pārbūve saskaņā ar izstrādāto būvprojektu,</w:t>
      </w:r>
      <w:r w:rsidRPr="00807D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īstenojot </w:t>
      </w:r>
      <w:r w:rsidRPr="00807D6F">
        <w:rPr>
          <w:rFonts w:ascii="Times New Roman" w:eastAsia="Calibri" w:hAnsi="Times New Roman" w:cs="Times New Roman"/>
          <w:sz w:val="24"/>
          <w:szCs w:val="24"/>
        </w:rPr>
        <w:t>1.kārtu,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ar jaudas palielinā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>jumu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līdz 150 m3/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dnn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>;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CB054" w14:textId="3B4EB46B" w:rsidR="006B6A15" w:rsidRPr="00807D6F" w:rsidRDefault="004E4631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Kalngales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NAI kapacitātes neliela palielināšana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(par 50 m</w:t>
      </w:r>
      <w:r w:rsidRPr="00807D6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807D6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dnn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objektu </w:t>
      </w:r>
      <w:r w:rsidRPr="00807D6F">
        <w:rPr>
          <w:rFonts w:ascii="Times New Roman" w:eastAsia="Calibri" w:hAnsi="Times New Roman" w:cs="Times New Roman"/>
          <w:sz w:val="24"/>
          <w:szCs w:val="24"/>
        </w:rPr>
        <w:t>“</w:t>
      </w:r>
      <w:r w:rsidRPr="00807D6F">
        <w:rPr>
          <w:rFonts w:ascii="Times New Roman" w:eastAsia="Calibri" w:hAnsi="Times New Roman" w:cs="Times New Roman"/>
          <w:sz w:val="24"/>
          <w:szCs w:val="24"/>
        </w:rPr>
        <w:t>Domas</w:t>
      </w:r>
      <w:r w:rsidRPr="00807D6F">
        <w:rPr>
          <w:rFonts w:ascii="Times New Roman" w:eastAsia="Calibri" w:hAnsi="Times New Roman" w:cs="Times New Roman"/>
          <w:sz w:val="24"/>
          <w:szCs w:val="24"/>
        </w:rPr>
        <w:t>”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807D6F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Langaskrasti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807D6F">
        <w:rPr>
          <w:rFonts w:ascii="Times New Roman" w:eastAsia="Calibri" w:hAnsi="Times New Roman" w:cs="Times New Roman"/>
          <w:sz w:val="24"/>
          <w:szCs w:val="24"/>
        </w:rPr>
        <w:t>”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apkalpošanai)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un kanalizācijas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spiedvada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izbūve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līdz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savienojumam ar izbūv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>es procesā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esošiem kanalizācijas tīkliem notekūdeņu novadīšanai attīrīšanai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Ādažu pilsētas NAI </w:t>
      </w:r>
      <w:r w:rsidRPr="00807D6F">
        <w:rPr>
          <w:rFonts w:ascii="Times New Roman" w:eastAsia="Calibri" w:hAnsi="Times New Roman" w:cs="Times New Roman"/>
          <w:sz w:val="24"/>
          <w:szCs w:val="24"/>
        </w:rPr>
        <w:t>pārējo attīstāmo objektu nodrošināšanai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Spiedvads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būvējams pa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pašvaldības īpašumā esošo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Garciema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ceļ</w:t>
      </w:r>
      <w:r w:rsidRPr="00807D6F">
        <w:rPr>
          <w:rFonts w:ascii="Times New Roman" w:eastAsia="Calibri" w:hAnsi="Times New Roman" w:cs="Times New Roman"/>
          <w:sz w:val="24"/>
          <w:szCs w:val="24"/>
        </w:rPr>
        <w:t>u</w:t>
      </w:r>
      <w:r w:rsidRPr="00807D6F">
        <w:rPr>
          <w:rFonts w:ascii="Times New Roman" w:eastAsia="Calibri" w:hAnsi="Times New Roman" w:cs="Times New Roman"/>
          <w:sz w:val="24"/>
          <w:szCs w:val="24"/>
        </w:rPr>
        <w:t>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posmā no Ataru ceļa līdz Ūbeļu ielai</w:t>
      </w:r>
      <w:r w:rsidRPr="00807D6F">
        <w:rPr>
          <w:rFonts w:ascii="Times New Roman" w:eastAsia="Calibri" w:hAnsi="Times New Roman" w:cs="Times New Roman"/>
          <w:sz w:val="24"/>
          <w:szCs w:val="24"/>
        </w:rPr>
        <w:t>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807D6F">
        <w:rPr>
          <w:rFonts w:ascii="Times New Roman" w:eastAsia="Calibri" w:hAnsi="Times New Roman" w:cs="Times New Roman"/>
          <w:sz w:val="24"/>
          <w:szCs w:val="24"/>
        </w:rPr>
        <w:t>Ataru ceļa līdz Langas upes kanālam;</w:t>
      </w:r>
    </w:p>
    <w:p w14:paraId="448556B0" w14:textId="55EF21E4" w:rsidR="006B6A15" w:rsidRPr="00807D6F" w:rsidRDefault="004E4631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4888106"/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Kalngales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NAI pagaidu saglabāšana 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>bez izmaiņām</w:t>
      </w:r>
      <w:r w:rsidRPr="00807D6F">
        <w:rPr>
          <w:rFonts w:ascii="Times New Roman" w:eastAsia="Calibri" w:hAnsi="Times New Roman" w:cs="Times New Roman"/>
          <w:sz w:val="24"/>
          <w:szCs w:val="24"/>
        </w:rPr>
        <w:t>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Kalngales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ciema 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 xml:space="preserve">esošo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objektu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apkalpošanai, un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kanalizācijas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spiedvada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izbūve līdz Ādažu pilsētas NAI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Eimuru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pļavās attīstāmo 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 xml:space="preserve">visu </w:t>
      </w:r>
      <w:r w:rsidRPr="00807D6F">
        <w:rPr>
          <w:rFonts w:ascii="Times New Roman" w:eastAsia="Calibri" w:hAnsi="Times New Roman" w:cs="Times New Roman"/>
          <w:sz w:val="24"/>
          <w:szCs w:val="24"/>
        </w:rPr>
        <w:t>objektu apkalpošanai</w:t>
      </w:r>
      <w:r w:rsidRPr="00807D6F">
        <w:rPr>
          <w:rFonts w:ascii="Times New Roman" w:eastAsia="Calibri" w:hAnsi="Times New Roman" w:cs="Times New Roman"/>
          <w:sz w:val="24"/>
          <w:szCs w:val="24"/>
        </w:rPr>
        <w:t>)</w:t>
      </w:r>
      <w:r w:rsidRPr="00807D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no Ataru ceļa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>,</w:t>
      </w:r>
      <w:r w:rsidRPr="00807D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pa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Garciema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ceļu un Ūbeļu ielu</w:t>
      </w:r>
      <w:r w:rsidR="00953EAB" w:rsidRPr="00807D6F">
        <w:rPr>
          <w:rFonts w:ascii="Times New Roman" w:eastAsia="Calibri" w:hAnsi="Times New Roman" w:cs="Times New Roman"/>
          <w:sz w:val="24"/>
          <w:szCs w:val="24"/>
        </w:rPr>
        <w:t>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līdz krustojumam ar </w:t>
      </w:r>
      <w:proofErr w:type="spellStart"/>
      <w:r w:rsidRPr="00807D6F">
        <w:rPr>
          <w:rFonts w:ascii="Times New Roman" w:eastAsia="Calibri" w:hAnsi="Times New Roman" w:cs="Times New Roman"/>
          <w:sz w:val="24"/>
          <w:szCs w:val="24"/>
        </w:rPr>
        <w:t>Langaskrastu</w:t>
      </w:r>
      <w:proofErr w:type="spellEnd"/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ielu un 2 pieņemošām sūkņu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D6F">
        <w:rPr>
          <w:rFonts w:ascii="Times New Roman" w:eastAsia="Calibri" w:hAnsi="Times New Roman" w:cs="Times New Roman"/>
          <w:sz w:val="24"/>
          <w:szCs w:val="24"/>
        </w:rPr>
        <w:t>stacijām</w:t>
      </w:r>
      <w:r w:rsidRPr="00807D6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7ECA0EE" w14:textId="6DF1CB87" w:rsidR="0046757F" w:rsidRPr="00807D6F" w:rsidRDefault="004E4631" w:rsidP="00953EAB">
      <w:pPr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>11.12.2024</w:t>
      </w:r>
      <w:r w:rsidR="00953EAB" w:rsidRPr="00807D6F">
        <w:rPr>
          <w:rFonts w:ascii="Times New Roman" w:eastAsia="Calibri" w:hAnsi="Times New Roman" w:cs="Times New Roman"/>
        </w:rPr>
        <w:t>. saņemtais</w:t>
      </w:r>
      <w:r w:rsidRPr="00807D6F">
        <w:rPr>
          <w:rFonts w:ascii="Times New Roman" w:eastAsia="Calibri" w:hAnsi="Times New Roman" w:cs="Times New Roman"/>
        </w:rPr>
        <w:t xml:space="preserve"> tehniski ekonomiskais novērtējums liecina, ka ekonomiski izdevīgākais </w:t>
      </w:r>
      <w:r w:rsidRPr="00807D6F">
        <w:rPr>
          <w:rFonts w:ascii="Times New Roman" w:eastAsia="Calibri" w:hAnsi="Times New Roman" w:cs="Times New Roman"/>
        </w:rPr>
        <w:t>ir</w:t>
      </w:r>
      <w:r w:rsidRPr="00807D6F">
        <w:rPr>
          <w:rFonts w:ascii="Times New Roman" w:eastAsia="Calibri" w:hAnsi="Times New Roman" w:cs="Times New Roman"/>
        </w:rPr>
        <w:t xml:space="preserve"> 3. risinājums, t.i., </w:t>
      </w: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NAI pagaidu saglabāšana esošajā veidolā </w:t>
      </w:r>
      <w:proofErr w:type="spellStart"/>
      <w:r w:rsidRPr="00807D6F">
        <w:rPr>
          <w:rFonts w:ascii="Times New Roman" w:eastAsia="Calibri" w:hAnsi="Times New Roman" w:cs="Times New Roman"/>
        </w:rPr>
        <w:t>Kalngales</w:t>
      </w:r>
      <w:proofErr w:type="spellEnd"/>
      <w:r w:rsidRPr="00807D6F">
        <w:rPr>
          <w:rFonts w:ascii="Times New Roman" w:eastAsia="Calibri" w:hAnsi="Times New Roman" w:cs="Times New Roman"/>
        </w:rPr>
        <w:t xml:space="preserve"> ciema klientu apkalpošanai un kanalizācijas </w:t>
      </w:r>
      <w:proofErr w:type="spellStart"/>
      <w:r w:rsidRPr="00807D6F">
        <w:rPr>
          <w:rFonts w:ascii="Times New Roman" w:eastAsia="Calibri" w:hAnsi="Times New Roman" w:cs="Times New Roman"/>
        </w:rPr>
        <w:t>spiedvada</w:t>
      </w:r>
      <w:proofErr w:type="spellEnd"/>
      <w:r w:rsidRPr="00807D6F">
        <w:rPr>
          <w:rFonts w:ascii="Times New Roman" w:eastAsia="Calibri" w:hAnsi="Times New Roman" w:cs="Times New Roman"/>
        </w:rPr>
        <w:t xml:space="preserve"> izbūve uz Ādažu NAI</w:t>
      </w:r>
      <w:r w:rsidRPr="00807D6F">
        <w:rPr>
          <w:rFonts w:ascii="Times New Roman" w:eastAsia="Calibri" w:hAnsi="Times New Roman" w:cs="Times New Roman"/>
        </w:rPr>
        <w:t>, jo:</w:t>
      </w:r>
    </w:p>
    <w:p w14:paraId="0990AF19" w14:textId="17879224" w:rsidR="0046757F" w:rsidRPr="00807D6F" w:rsidRDefault="004E4631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nodrošina </w:t>
      </w:r>
      <w:r w:rsidRPr="00807D6F">
        <w:rPr>
          <w:rFonts w:ascii="Times New Roman" w:eastAsia="Calibri" w:hAnsi="Times New Roman" w:cs="Times New Roman"/>
          <w:sz w:val="24"/>
          <w:szCs w:val="24"/>
        </w:rPr>
        <w:t>vairākas reizes augstāku notekūdeņu attīrīšanas pakāpi;</w:t>
      </w:r>
    </w:p>
    <w:p w14:paraId="2B85EA04" w14:textId="53F68A1C" w:rsidR="0046757F" w:rsidRPr="00807D6F" w:rsidRDefault="004E4631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D6F">
        <w:rPr>
          <w:rFonts w:ascii="Times New Roman" w:eastAsia="Calibri" w:hAnsi="Times New Roman" w:cs="Times New Roman"/>
          <w:sz w:val="24"/>
          <w:szCs w:val="24"/>
        </w:rPr>
        <w:t>izslēdz nepieciešamu palielināt attīrīto notekūdeņu izlaides slodzi uz Langas upi;</w:t>
      </w:r>
    </w:p>
    <w:p w14:paraId="0978FE30" w14:textId="49711E17" w:rsidR="0046757F" w:rsidRPr="00807D6F" w:rsidRDefault="004E4631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D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projekta īstenošanas laiks ir 13-16 mēneši, </w:t>
      </w:r>
      <w:r w:rsidR="002E5D7A" w:rsidRPr="00807D6F">
        <w:rPr>
          <w:rFonts w:ascii="Times New Roman" w:eastAsia="Calibri" w:hAnsi="Times New Roman" w:cs="Times New Roman"/>
          <w:sz w:val="24"/>
          <w:szCs w:val="24"/>
        </w:rPr>
        <w:t>t.i.,</w:t>
      </w:r>
      <w:r w:rsidRPr="00807D6F">
        <w:rPr>
          <w:rFonts w:ascii="Times New Roman" w:eastAsia="Calibri" w:hAnsi="Times New Roman" w:cs="Times New Roman"/>
          <w:sz w:val="24"/>
          <w:szCs w:val="24"/>
        </w:rPr>
        <w:t xml:space="preserve"> līdz 2026. gada maijam</w:t>
      </w:r>
      <w:r w:rsidR="002E5D7A" w:rsidRPr="00807D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46784B" w14:textId="36C3F7E1" w:rsidR="00BB21D5" w:rsidRPr="00807D6F" w:rsidRDefault="004E4631" w:rsidP="00BB21D5">
      <w:pPr>
        <w:spacing w:before="120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 xml:space="preserve">Risinājuma </w:t>
      </w:r>
      <w:r w:rsidR="006B6A15" w:rsidRPr="00807D6F">
        <w:rPr>
          <w:rFonts w:ascii="Times New Roman" w:eastAsia="Calibri" w:hAnsi="Times New Roman" w:cs="Times New Roman"/>
        </w:rPr>
        <w:t xml:space="preserve">īstenošanas indikatīvās izmaksas </w:t>
      </w:r>
      <w:r w:rsidR="0046757F" w:rsidRPr="00807D6F">
        <w:rPr>
          <w:rFonts w:ascii="Times New Roman" w:eastAsia="Calibri" w:hAnsi="Times New Roman" w:cs="Times New Roman"/>
        </w:rPr>
        <w:t>ir</w:t>
      </w:r>
      <w:r w:rsidR="006B6A15" w:rsidRPr="00807D6F">
        <w:rPr>
          <w:rFonts w:ascii="Times New Roman" w:eastAsia="Calibri" w:hAnsi="Times New Roman" w:cs="Times New Roman"/>
        </w:rPr>
        <w:t xml:space="preserve"> aptuven</w:t>
      </w:r>
      <w:r w:rsidR="0046757F" w:rsidRPr="00807D6F">
        <w:rPr>
          <w:rFonts w:ascii="Times New Roman" w:eastAsia="Calibri" w:hAnsi="Times New Roman" w:cs="Times New Roman"/>
        </w:rPr>
        <w:t>i</w:t>
      </w:r>
      <w:r w:rsidR="006B6A15" w:rsidRPr="00807D6F">
        <w:rPr>
          <w:rFonts w:ascii="Times New Roman" w:eastAsia="Calibri" w:hAnsi="Times New Roman" w:cs="Times New Roman"/>
        </w:rPr>
        <w:t xml:space="preserve"> 450 </w:t>
      </w:r>
      <w:r w:rsidR="00DE4A3E" w:rsidRPr="00807D6F">
        <w:rPr>
          <w:rFonts w:ascii="Times New Roman" w:eastAsia="Calibri" w:hAnsi="Times New Roman" w:cs="Times New Roman"/>
        </w:rPr>
        <w:t>000</w:t>
      </w:r>
      <w:r w:rsidR="006B6A15" w:rsidRPr="00807D6F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Pr="00807D6F">
        <w:rPr>
          <w:rFonts w:ascii="Times New Roman" w:eastAsia="Calibri" w:hAnsi="Times New Roman" w:cs="Times New Roman"/>
        </w:rPr>
        <w:t xml:space="preserve">. </w:t>
      </w:r>
    </w:p>
    <w:p w14:paraId="7C6D59DB" w14:textId="1ECAE282" w:rsidR="00BB21D5" w:rsidRPr="00807D6F" w:rsidRDefault="004E4631" w:rsidP="00BB21D5">
      <w:pPr>
        <w:spacing w:before="120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>Ņemot vērā, ka risinājuma</w:t>
      </w:r>
      <w:r w:rsidRPr="00807D6F">
        <w:rPr>
          <w:rFonts w:ascii="Times New Roman" w:eastAsia="Calibri" w:hAnsi="Times New Roman" w:cs="Times New Roman"/>
        </w:rPr>
        <w:t xml:space="preserve"> teritorij</w:t>
      </w:r>
      <w:r w:rsidRPr="00807D6F">
        <w:rPr>
          <w:rFonts w:ascii="Times New Roman" w:eastAsia="Calibri" w:hAnsi="Times New Roman" w:cs="Times New Roman"/>
        </w:rPr>
        <w:t xml:space="preserve">ā </w:t>
      </w:r>
      <w:r w:rsidRPr="00807D6F">
        <w:rPr>
          <w:rFonts w:ascii="Times New Roman" w:eastAsia="Calibri" w:hAnsi="Times New Roman" w:cs="Times New Roman"/>
        </w:rPr>
        <w:t>esošie attīstības projekti pagaidām nepiedalās Ādažu novada ūdenssaimniecības attīstības finansēšanā</w:t>
      </w:r>
      <w:r w:rsidRPr="00807D6F">
        <w:rPr>
          <w:rFonts w:ascii="Times New Roman" w:eastAsia="Calibri" w:hAnsi="Times New Roman" w:cs="Times New Roman"/>
        </w:rPr>
        <w:t xml:space="preserve"> (t.i.,</w:t>
      </w:r>
      <w:r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>tie nemaksā</w:t>
      </w:r>
      <w:r w:rsidRPr="00807D6F">
        <w:rPr>
          <w:rFonts w:ascii="Times New Roman" w:eastAsia="Calibri" w:hAnsi="Times New Roman" w:cs="Times New Roman"/>
        </w:rPr>
        <w:t xml:space="preserve"> vienreizēju notekūdeņu attīrīšanas jaudas maksu </w:t>
      </w:r>
      <w:r w:rsidRPr="00807D6F">
        <w:rPr>
          <w:rFonts w:ascii="Times New Roman" w:eastAsia="Calibri" w:hAnsi="Times New Roman" w:cs="Times New Roman"/>
        </w:rPr>
        <w:t>atbilstoši</w:t>
      </w:r>
      <w:r w:rsidRPr="00807D6F">
        <w:rPr>
          <w:rFonts w:ascii="Times New Roman" w:eastAsia="Calibri" w:hAnsi="Times New Roman" w:cs="Times New Roman"/>
        </w:rPr>
        <w:t xml:space="preserve"> Ādažu novada </w:t>
      </w:r>
      <w:r w:rsidRPr="00807D6F">
        <w:rPr>
          <w:rFonts w:ascii="Times New Roman" w:eastAsia="Calibri" w:hAnsi="Times New Roman" w:cs="Times New Roman"/>
        </w:rPr>
        <w:t xml:space="preserve">pašvaldības domes </w:t>
      </w:r>
      <w:r w:rsidRPr="00807D6F">
        <w:rPr>
          <w:rFonts w:ascii="Times New Roman" w:eastAsia="Calibri" w:hAnsi="Times New Roman" w:cs="Times New Roman"/>
        </w:rPr>
        <w:t>2022. gada 28. septembr</w:t>
      </w:r>
      <w:r w:rsidRPr="00807D6F">
        <w:rPr>
          <w:rFonts w:ascii="Times New Roman" w:eastAsia="Calibri" w:hAnsi="Times New Roman" w:cs="Times New Roman"/>
        </w:rPr>
        <w:t>a</w:t>
      </w:r>
      <w:r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 xml:space="preserve">saistošajiem noteikumiem Nr. </w:t>
      </w:r>
      <w:r w:rsidRPr="00807D6F">
        <w:rPr>
          <w:rFonts w:ascii="Times New Roman" w:eastAsia="Calibri" w:hAnsi="Times New Roman" w:cs="Times New Roman"/>
        </w:rPr>
        <w:t>72/2022</w:t>
      </w:r>
      <w:r w:rsidRPr="00807D6F">
        <w:rPr>
          <w:rFonts w:ascii="Times New Roman" w:eastAsia="Calibri" w:hAnsi="Times New Roman" w:cs="Times New Roman"/>
        </w:rPr>
        <w:t xml:space="preserve"> “</w:t>
      </w:r>
      <w:r w:rsidRPr="00807D6F">
        <w:rPr>
          <w:rFonts w:ascii="Times New Roman" w:eastAsia="Calibri" w:hAnsi="Times New Roman" w:cs="Times New Roman"/>
        </w:rPr>
        <w:t>Sabiedrisko ūdenssaimniecības pakalpojumu kārtība Ādažu novadā</w:t>
      </w:r>
      <w:r w:rsidRPr="00807D6F">
        <w:rPr>
          <w:rFonts w:ascii="Times New Roman" w:eastAsia="Calibri" w:hAnsi="Times New Roman" w:cs="Times New Roman"/>
        </w:rPr>
        <w:t>”)</w:t>
      </w:r>
      <w:r w:rsidRPr="00807D6F">
        <w:rPr>
          <w:rFonts w:ascii="Times New Roman" w:eastAsia="Calibri" w:hAnsi="Times New Roman" w:cs="Times New Roman"/>
        </w:rPr>
        <w:t xml:space="preserve">, un </w:t>
      </w:r>
      <w:r w:rsidRPr="00807D6F">
        <w:rPr>
          <w:rFonts w:ascii="Times New Roman" w:eastAsia="Calibri" w:hAnsi="Times New Roman" w:cs="Times New Roman"/>
        </w:rPr>
        <w:t>ieceres</w:t>
      </w:r>
      <w:r w:rsidRPr="00807D6F">
        <w:rPr>
          <w:rFonts w:ascii="Times New Roman" w:eastAsia="Calibri" w:hAnsi="Times New Roman" w:cs="Times New Roman"/>
        </w:rPr>
        <w:t xml:space="preserve"> īstenošanai nav paredzēts cits finansēšanas avots</w:t>
      </w:r>
      <w:r w:rsidRPr="00807D6F">
        <w:rPr>
          <w:rFonts w:ascii="Times New Roman" w:eastAsia="Calibri" w:hAnsi="Times New Roman" w:cs="Times New Roman"/>
        </w:rPr>
        <w:t xml:space="preserve">, kā vien </w:t>
      </w:r>
      <w:r w:rsidRPr="00807D6F">
        <w:rPr>
          <w:rFonts w:ascii="Times New Roman" w:eastAsia="Calibri" w:hAnsi="Times New Roman" w:cs="Times New Roman"/>
        </w:rPr>
        <w:t>SIA “Ādažu ūdens” ieņēmumiem no saimnieciskās darbības</w:t>
      </w:r>
      <w:r w:rsidRPr="00807D6F">
        <w:rPr>
          <w:rFonts w:ascii="Times New Roman" w:eastAsia="Calibri" w:hAnsi="Times New Roman" w:cs="Times New Roman"/>
        </w:rPr>
        <w:t xml:space="preserve"> un</w:t>
      </w:r>
      <w:r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>līdzekļi</w:t>
      </w:r>
      <w:r w:rsidRPr="00807D6F">
        <w:rPr>
          <w:rFonts w:ascii="Times New Roman" w:eastAsia="Calibri" w:hAnsi="Times New Roman" w:cs="Times New Roman"/>
        </w:rPr>
        <w:t xml:space="preserve"> no ārējiem finanšu avotiem</w:t>
      </w:r>
      <w:r w:rsidRPr="00807D6F">
        <w:rPr>
          <w:rFonts w:ascii="Times New Roman" w:eastAsia="Calibri" w:hAnsi="Times New Roman" w:cs="Times New Roman"/>
        </w:rPr>
        <w:t xml:space="preserve"> (t.sk., nodrošinot to segumu ar</w:t>
      </w:r>
      <w:r w:rsidRPr="00807D6F">
        <w:rPr>
          <w:rFonts w:ascii="Times New Roman" w:eastAsia="Calibri" w:hAnsi="Times New Roman" w:cs="Times New Roman"/>
        </w:rPr>
        <w:t xml:space="preserve"> pašvaldības galvojum</w:t>
      </w:r>
      <w:r w:rsidRPr="00807D6F">
        <w:rPr>
          <w:rFonts w:ascii="Times New Roman" w:eastAsia="Calibri" w:hAnsi="Times New Roman" w:cs="Times New Roman"/>
        </w:rPr>
        <w:t>u)</w:t>
      </w:r>
      <w:r w:rsidRPr="00807D6F">
        <w:rPr>
          <w:rFonts w:ascii="Times New Roman" w:eastAsia="Calibri" w:hAnsi="Times New Roman" w:cs="Times New Roman"/>
        </w:rPr>
        <w:t>, investīciju atmaksāšana rad</w:t>
      </w:r>
      <w:r w:rsidR="00C55C6B" w:rsidRPr="00807D6F">
        <w:rPr>
          <w:rFonts w:ascii="Times New Roman" w:eastAsia="Calibri" w:hAnsi="Times New Roman" w:cs="Times New Roman"/>
        </w:rPr>
        <w:t>īs</w:t>
      </w:r>
      <w:r w:rsidRPr="00807D6F">
        <w:rPr>
          <w:rFonts w:ascii="Times New Roman" w:eastAsia="Calibri" w:hAnsi="Times New Roman" w:cs="Times New Roman"/>
        </w:rPr>
        <w:t xml:space="preserve"> nozīmīgu SIA “Ād</w:t>
      </w:r>
      <w:r w:rsidRPr="00807D6F">
        <w:rPr>
          <w:rFonts w:ascii="Times New Roman" w:eastAsia="Calibri" w:hAnsi="Times New Roman" w:cs="Times New Roman"/>
        </w:rPr>
        <w:t xml:space="preserve">ažu ūdens” pakalpojumu tarifu paaugstināšanu. </w:t>
      </w:r>
    </w:p>
    <w:p w14:paraId="5CEB4652" w14:textId="7EC60997" w:rsidR="006B6A15" w:rsidRPr="00807D6F" w:rsidRDefault="004E4631" w:rsidP="00B42184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>P</w:t>
      </w:r>
      <w:r w:rsidRPr="00807D6F">
        <w:rPr>
          <w:rFonts w:ascii="Times New Roman" w:eastAsia="Calibri" w:hAnsi="Times New Roman" w:cs="Times New Roman"/>
        </w:rPr>
        <w:t>amatojoties uz Pašvaldību likuma 4. panta pirmās daļas 1.</w:t>
      </w:r>
      <w:r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>punktu</w:t>
      </w:r>
      <w:r w:rsidR="00C55C6B" w:rsidRPr="00807D6F">
        <w:rPr>
          <w:rFonts w:ascii="Times New Roman" w:eastAsia="Calibri" w:hAnsi="Times New Roman" w:cs="Times New Roman"/>
        </w:rPr>
        <w:t xml:space="preserve"> </w:t>
      </w:r>
      <w:r w:rsidRPr="00807D6F">
        <w:rPr>
          <w:rFonts w:ascii="Times New Roman" w:eastAsia="Calibri" w:hAnsi="Times New Roman" w:cs="Times New Roman"/>
        </w:rPr>
        <w:t xml:space="preserve">Attīstības komitejas </w:t>
      </w:r>
      <w:r w:rsidRPr="00807D6F">
        <w:rPr>
          <w:rFonts w:ascii="Times New Roman" w:eastAsia="Calibri" w:hAnsi="Times New Roman" w:cs="Times New Roman"/>
        </w:rPr>
        <w:t>11</w:t>
      </w:r>
      <w:r w:rsidRPr="00807D6F">
        <w:rPr>
          <w:rFonts w:ascii="Times New Roman" w:eastAsia="Calibri" w:hAnsi="Times New Roman" w:cs="Times New Roman"/>
        </w:rPr>
        <w:t>.</w:t>
      </w:r>
      <w:r w:rsidRPr="00807D6F">
        <w:rPr>
          <w:rFonts w:ascii="Times New Roman" w:eastAsia="Calibri" w:hAnsi="Times New Roman" w:cs="Times New Roman"/>
        </w:rPr>
        <w:t>12</w:t>
      </w:r>
      <w:r w:rsidRPr="00807D6F">
        <w:rPr>
          <w:rFonts w:ascii="Times New Roman" w:eastAsia="Calibri" w:hAnsi="Times New Roman" w:cs="Times New Roman"/>
        </w:rPr>
        <w:t xml:space="preserve">.2024. atzinumu un Finanšu komitejas </w:t>
      </w:r>
      <w:r w:rsidR="00DE4A3E" w:rsidRPr="00807D6F">
        <w:rPr>
          <w:rFonts w:ascii="Times New Roman" w:eastAsia="Calibri" w:hAnsi="Times New Roman" w:cs="Times New Roman"/>
        </w:rPr>
        <w:t>22</w:t>
      </w:r>
      <w:r w:rsidRPr="00807D6F">
        <w:rPr>
          <w:rFonts w:ascii="Times New Roman" w:eastAsia="Calibri" w:hAnsi="Times New Roman" w:cs="Times New Roman"/>
        </w:rPr>
        <w:t>.</w:t>
      </w:r>
      <w:r w:rsidR="00DE4A3E" w:rsidRPr="00807D6F">
        <w:rPr>
          <w:rFonts w:ascii="Times New Roman" w:eastAsia="Calibri" w:hAnsi="Times New Roman" w:cs="Times New Roman"/>
        </w:rPr>
        <w:t>01</w:t>
      </w:r>
      <w:r w:rsidRPr="00807D6F">
        <w:rPr>
          <w:rFonts w:ascii="Times New Roman" w:eastAsia="Calibri" w:hAnsi="Times New Roman" w:cs="Times New Roman"/>
        </w:rPr>
        <w:t>.202</w:t>
      </w:r>
      <w:r w:rsidR="00DE4A3E" w:rsidRPr="00807D6F">
        <w:rPr>
          <w:rFonts w:ascii="Times New Roman" w:eastAsia="Calibri" w:hAnsi="Times New Roman" w:cs="Times New Roman"/>
        </w:rPr>
        <w:t>5</w:t>
      </w:r>
      <w:r w:rsidRPr="00807D6F">
        <w:rPr>
          <w:rFonts w:ascii="Times New Roman" w:eastAsia="Calibri" w:hAnsi="Times New Roman" w:cs="Times New Roman"/>
        </w:rPr>
        <w:t>. atzinumu, Ādažu novada pašvaldības dome</w:t>
      </w:r>
    </w:p>
    <w:p w14:paraId="48F58D35" w14:textId="77777777" w:rsidR="006B6A15" w:rsidRPr="00807D6F" w:rsidRDefault="004E4631" w:rsidP="006B6A15">
      <w:pPr>
        <w:spacing w:after="120"/>
        <w:ind w:right="613"/>
        <w:jc w:val="center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  <w:b/>
          <w:bCs/>
        </w:rPr>
        <w:t>NOLEMJ:</w:t>
      </w:r>
    </w:p>
    <w:p w14:paraId="0F3706CB" w14:textId="0E6AE383" w:rsidR="006B6A15" w:rsidRPr="00807D6F" w:rsidRDefault="004E4631" w:rsidP="006B6A15">
      <w:pPr>
        <w:numPr>
          <w:ilvl w:val="0"/>
          <w:numId w:val="3"/>
        </w:numPr>
        <w:spacing w:after="120"/>
        <w:ind w:right="-1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eastAsia="Calibri" w:hAnsi="Times New Roman" w:cs="Times New Roman"/>
        </w:rPr>
        <w:t>Konceptuāli atbalstī</w:t>
      </w:r>
      <w:r w:rsidRPr="00807D6F">
        <w:rPr>
          <w:rFonts w:ascii="Times New Roman" w:eastAsia="Calibri" w:hAnsi="Times New Roman" w:cs="Times New Roman"/>
        </w:rPr>
        <w:t xml:space="preserve">t </w:t>
      </w:r>
      <w:r w:rsidR="00C55C6B" w:rsidRPr="00807D6F">
        <w:rPr>
          <w:rFonts w:ascii="Times New Roman" w:eastAsia="Calibri" w:hAnsi="Times New Roman" w:cs="Times New Roman"/>
        </w:rPr>
        <w:t xml:space="preserve">centralizēto notekūdeņu attīrīšanas sistēmas paplašināšanu </w:t>
      </w:r>
      <w:proofErr w:type="spellStart"/>
      <w:r w:rsidR="00C55C6B" w:rsidRPr="00807D6F">
        <w:rPr>
          <w:rFonts w:ascii="Times New Roman" w:eastAsia="Calibri" w:hAnsi="Times New Roman" w:cs="Times New Roman"/>
        </w:rPr>
        <w:t>Kalngalē</w:t>
      </w:r>
      <w:proofErr w:type="spellEnd"/>
      <w:r w:rsidR="00C55C6B" w:rsidRPr="00807D6F">
        <w:rPr>
          <w:rFonts w:ascii="Times New Roman" w:eastAsia="Calibri" w:hAnsi="Times New Roman" w:cs="Times New Roman"/>
        </w:rPr>
        <w:t xml:space="preserve">, veicot </w:t>
      </w:r>
      <w:r w:rsidRPr="00807D6F">
        <w:rPr>
          <w:rFonts w:ascii="Times New Roman" w:eastAsia="Calibri" w:hAnsi="Times New Roman" w:cs="Times New Roman"/>
        </w:rPr>
        <w:t xml:space="preserve">kanalizācijas </w:t>
      </w:r>
      <w:proofErr w:type="spellStart"/>
      <w:r w:rsidRPr="00807D6F">
        <w:rPr>
          <w:rFonts w:ascii="Times New Roman" w:eastAsia="Calibri" w:hAnsi="Times New Roman" w:cs="Times New Roman"/>
        </w:rPr>
        <w:t>spiedvada</w:t>
      </w:r>
      <w:proofErr w:type="spellEnd"/>
      <w:r w:rsidRPr="00807D6F">
        <w:rPr>
          <w:rFonts w:ascii="Times New Roman" w:eastAsia="Calibri" w:hAnsi="Times New Roman" w:cs="Times New Roman"/>
        </w:rPr>
        <w:t xml:space="preserve"> izbūvi no Ataru ceļa līdz </w:t>
      </w:r>
      <w:proofErr w:type="spellStart"/>
      <w:r w:rsidRPr="00807D6F">
        <w:rPr>
          <w:rFonts w:ascii="Times New Roman" w:eastAsia="Calibri" w:hAnsi="Times New Roman" w:cs="Times New Roman"/>
        </w:rPr>
        <w:t>Langaskrastu</w:t>
      </w:r>
      <w:proofErr w:type="spellEnd"/>
      <w:r w:rsidRPr="00807D6F">
        <w:rPr>
          <w:rFonts w:ascii="Times New Roman" w:eastAsia="Calibri" w:hAnsi="Times New Roman" w:cs="Times New Roman"/>
        </w:rPr>
        <w:t xml:space="preserve"> ielai</w:t>
      </w:r>
      <w:r w:rsidRPr="00807D6F">
        <w:rPr>
          <w:rFonts w:ascii="Times New Roman" w:hAnsi="Times New Roman" w:cs="Times New Roman"/>
        </w:rPr>
        <w:t>.</w:t>
      </w:r>
    </w:p>
    <w:p w14:paraId="6CAEECCC" w14:textId="77777777" w:rsidR="00C55C6B" w:rsidRPr="00807D6F" w:rsidRDefault="004E4631" w:rsidP="006B6A15">
      <w:pPr>
        <w:numPr>
          <w:ilvl w:val="0"/>
          <w:numId w:val="3"/>
        </w:numPr>
        <w:spacing w:after="120"/>
        <w:ind w:right="-1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hAnsi="Times New Roman" w:cs="Times New Roman"/>
        </w:rPr>
        <w:t>Uzdot SIA “Ādažu Ūdens” valdei:</w:t>
      </w:r>
    </w:p>
    <w:p w14:paraId="55E14EFA" w14:textId="281FC548" w:rsidR="00C55C6B" w:rsidRPr="00807D6F" w:rsidRDefault="004E4631" w:rsidP="00B42184">
      <w:pPr>
        <w:numPr>
          <w:ilvl w:val="1"/>
          <w:numId w:val="3"/>
        </w:numPr>
        <w:spacing w:after="120"/>
        <w:ind w:left="993" w:right="-1" w:hanging="567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hAnsi="Times New Roman" w:cs="Times New Roman"/>
        </w:rPr>
        <w:t>organizēt 1. punktā noteiktā uzdevuma izpildi;</w:t>
      </w:r>
    </w:p>
    <w:p w14:paraId="7A63A909" w14:textId="10A052F3" w:rsidR="00C55C6B" w:rsidRPr="00807D6F" w:rsidRDefault="004E4631" w:rsidP="00B42184">
      <w:pPr>
        <w:numPr>
          <w:ilvl w:val="1"/>
          <w:numId w:val="3"/>
        </w:numPr>
        <w:spacing w:after="120"/>
        <w:ind w:left="993" w:right="-1" w:hanging="567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hAnsi="Times New Roman" w:cs="Times New Roman"/>
        </w:rPr>
        <w:t xml:space="preserve">līdz </w:t>
      </w:r>
      <w:r w:rsidR="00D737CC" w:rsidRPr="00807D6F">
        <w:rPr>
          <w:rFonts w:ascii="Times New Roman" w:hAnsi="Times New Roman" w:cs="Times New Roman"/>
        </w:rPr>
        <w:t>16.07.2025. sniegt ziņojumu domes Finanšu komitejai par 1. punkta izpildes gaitu, rezultātiem un turpmākajām veicamajām darbībām.</w:t>
      </w:r>
    </w:p>
    <w:p w14:paraId="6DDB5FC7" w14:textId="77777777" w:rsidR="006B6A15" w:rsidRPr="00807D6F" w:rsidRDefault="004E4631" w:rsidP="00807D6F">
      <w:pPr>
        <w:numPr>
          <w:ilvl w:val="0"/>
          <w:numId w:val="3"/>
        </w:numPr>
        <w:ind w:right="-1"/>
        <w:jc w:val="both"/>
        <w:rPr>
          <w:rFonts w:ascii="Times New Roman" w:eastAsia="Calibri" w:hAnsi="Times New Roman" w:cs="Times New Roman"/>
        </w:rPr>
      </w:pPr>
      <w:r w:rsidRPr="00807D6F">
        <w:rPr>
          <w:rFonts w:ascii="Times New Roman" w:hAnsi="Times New Roman" w:cs="Times New Roman"/>
        </w:rPr>
        <w:t>Pašvaldības izpilddirektoram veikt lēmuma izpildes kontroli.</w:t>
      </w:r>
    </w:p>
    <w:p w14:paraId="23CB074E" w14:textId="421B331C" w:rsidR="00564CA6" w:rsidRPr="00807D6F" w:rsidRDefault="00564CA6" w:rsidP="00807D6F">
      <w:pPr>
        <w:jc w:val="both"/>
        <w:rPr>
          <w:rFonts w:ascii="Times New Roman" w:hAnsi="Times New Roman" w:cs="Times New Roman"/>
        </w:rPr>
      </w:pPr>
    </w:p>
    <w:p w14:paraId="28848560" w14:textId="74732ED1" w:rsidR="00BB16A4" w:rsidRDefault="00BB16A4" w:rsidP="00807D6F">
      <w:pPr>
        <w:jc w:val="both"/>
        <w:rPr>
          <w:rFonts w:ascii="Times New Roman" w:hAnsi="Times New Roman" w:cs="Times New Roman"/>
        </w:rPr>
      </w:pPr>
    </w:p>
    <w:p w14:paraId="01D7FE77" w14:textId="77777777" w:rsidR="00807D6F" w:rsidRPr="00807D6F" w:rsidRDefault="00807D6F" w:rsidP="00807D6F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807D6F" w:rsidRDefault="004E4631" w:rsidP="00807D6F">
      <w:pPr>
        <w:jc w:val="both"/>
        <w:rPr>
          <w:rFonts w:ascii="Times New Roman" w:hAnsi="Times New Roman" w:cs="Times New Roman"/>
          <w:noProof/>
        </w:rPr>
      </w:pPr>
      <w:r w:rsidRPr="00807D6F">
        <w:rPr>
          <w:rFonts w:ascii="Times New Roman" w:hAnsi="Times New Roman" w:cs="Times New Roman"/>
          <w:noProof/>
        </w:rPr>
        <w:t>Pašvaldības domes priekšsēdētāj</w:t>
      </w:r>
      <w:r w:rsidR="00FA29A3" w:rsidRPr="00807D6F">
        <w:rPr>
          <w:rFonts w:ascii="Times New Roman" w:hAnsi="Times New Roman" w:cs="Times New Roman"/>
          <w:noProof/>
        </w:rPr>
        <w:t>a</w:t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Pr="00807D6F">
        <w:rPr>
          <w:rFonts w:ascii="Times New Roman" w:hAnsi="Times New Roman" w:cs="Times New Roman"/>
          <w:noProof/>
        </w:rPr>
        <w:tab/>
      </w:r>
      <w:r w:rsidR="00FA29A3" w:rsidRPr="00807D6F">
        <w:rPr>
          <w:rFonts w:ascii="Times New Roman" w:hAnsi="Times New Roman" w:cs="Times New Roman"/>
          <w:noProof/>
        </w:rPr>
        <w:t>K. Miķelsone</w:t>
      </w:r>
      <w:r w:rsidRPr="00807D6F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807D6F" w:rsidRDefault="00147221" w:rsidP="00807D6F">
      <w:pPr>
        <w:jc w:val="both"/>
        <w:rPr>
          <w:rFonts w:ascii="Times New Roman" w:hAnsi="Times New Roman" w:cs="Times New Roman"/>
          <w:noProof/>
        </w:rPr>
      </w:pPr>
    </w:p>
    <w:p w14:paraId="6955A864" w14:textId="05C59C06" w:rsidR="00564CA6" w:rsidRPr="00807D6F" w:rsidRDefault="004E4631" w:rsidP="00807D6F">
      <w:pPr>
        <w:jc w:val="center"/>
        <w:rPr>
          <w:rFonts w:ascii="Times New Roman" w:hAnsi="Times New Roman" w:cs="Times New Roman"/>
          <w:sz w:val="20"/>
          <w:szCs w:val="20"/>
        </w:rPr>
      </w:pPr>
      <w:r w:rsidRPr="00807D6F">
        <w:rPr>
          <w:rFonts w:ascii="Times New Roman" w:eastAsia="Calibri" w:hAnsi="Times New Roman" w:cs="Times New Roman"/>
        </w:rPr>
        <w:t xml:space="preserve">ŠIS DOKUMENTS IR </w:t>
      </w:r>
      <w:r w:rsidRPr="00807D6F">
        <w:rPr>
          <w:rFonts w:ascii="Times New Roman" w:eastAsia="Calibri" w:hAnsi="Times New Roman" w:cs="Times New Roman"/>
        </w:rPr>
        <w:t>PARAKSTĪTS AR DROŠU ELEKTRONISKO PARAKSTU UN SATUR LAIKA ZĪMOGU</w:t>
      </w:r>
      <w:r w:rsidR="00631F14" w:rsidRPr="00807D6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807D6F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BC72" w14:textId="77777777" w:rsidR="00000000" w:rsidRDefault="004E4631">
      <w:r>
        <w:separator/>
      </w:r>
    </w:p>
  </w:endnote>
  <w:endnote w:type="continuationSeparator" w:id="0">
    <w:p w14:paraId="0681E229" w14:textId="77777777" w:rsidR="00000000" w:rsidRDefault="004E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787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E463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2433" w14:textId="77777777" w:rsidR="00000000" w:rsidRDefault="004E4631">
      <w:r>
        <w:separator/>
      </w:r>
    </w:p>
  </w:footnote>
  <w:footnote w:type="continuationSeparator" w:id="0">
    <w:p w14:paraId="146AD6D0" w14:textId="77777777" w:rsidR="00000000" w:rsidRDefault="004E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DB85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608C6" w:tentative="1">
      <w:start w:val="1"/>
      <w:numFmt w:val="lowerLetter"/>
      <w:lvlText w:val="%2."/>
      <w:lvlJc w:val="left"/>
      <w:pPr>
        <w:ind w:left="1440" w:hanging="360"/>
      </w:pPr>
    </w:lvl>
    <w:lvl w:ilvl="2" w:tplc="050842DE" w:tentative="1">
      <w:start w:val="1"/>
      <w:numFmt w:val="lowerRoman"/>
      <w:lvlText w:val="%3."/>
      <w:lvlJc w:val="right"/>
      <w:pPr>
        <w:ind w:left="2160" w:hanging="180"/>
      </w:pPr>
    </w:lvl>
    <w:lvl w:ilvl="3" w:tplc="BD62078C" w:tentative="1">
      <w:start w:val="1"/>
      <w:numFmt w:val="decimal"/>
      <w:lvlText w:val="%4."/>
      <w:lvlJc w:val="left"/>
      <w:pPr>
        <w:ind w:left="2880" w:hanging="360"/>
      </w:pPr>
    </w:lvl>
    <w:lvl w:ilvl="4" w:tplc="DB1681A4" w:tentative="1">
      <w:start w:val="1"/>
      <w:numFmt w:val="lowerLetter"/>
      <w:lvlText w:val="%5."/>
      <w:lvlJc w:val="left"/>
      <w:pPr>
        <w:ind w:left="3600" w:hanging="360"/>
      </w:pPr>
    </w:lvl>
    <w:lvl w:ilvl="5" w:tplc="D3FE32D2" w:tentative="1">
      <w:start w:val="1"/>
      <w:numFmt w:val="lowerRoman"/>
      <w:lvlText w:val="%6."/>
      <w:lvlJc w:val="right"/>
      <w:pPr>
        <w:ind w:left="4320" w:hanging="180"/>
      </w:pPr>
    </w:lvl>
    <w:lvl w:ilvl="6" w:tplc="140EE1AE" w:tentative="1">
      <w:start w:val="1"/>
      <w:numFmt w:val="decimal"/>
      <w:lvlText w:val="%7."/>
      <w:lvlJc w:val="left"/>
      <w:pPr>
        <w:ind w:left="5040" w:hanging="360"/>
      </w:pPr>
    </w:lvl>
    <w:lvl w:ilvl="7" w:tplc="867EEE7C" w:tentative="1">
      <w:start w:val="1"/>
      <w:numFmt w:val="lowerLetter"/>
      <w:lvlText w:val="%8."/>
      <w:lvlJc w:val="left"/>
      <w:pPr>
        <w:ind w:left="5760" w:hanging="360"/>
      </w:pPr>
    </w:lvl>
    <w:lvl w:ilvl="8" w:tplc="A4723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86D"/>
    <w:multiLevelType w:val="hybridMultilevel"/>
    <w:tmpl w:val="4036D264"/>
    <w:lvl w:ilvl="0" w:tplc="C0889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5E5C12" w:tentative="1">
      <w:start w:val="1"/>
      <w:numFmt w:val="lowerLetter"/>
      <w:lvlText w:val="%2."/>
      <w:lvlJc w:val="left"/>
      <w:pPr>
        <w:ind w:left="1440" w:hanging="360"/>
      </w:pPr>
    </w:lvl>
    <w:lvl w:ilvl="2" w:tplc="BBA4FECC" w:tentative="1">
      <w:start w:val="1"/>
      <w:numFmt w:val="lowerRoman"/>
      <w:lvlText w:val="%3."/>
      <w:lvlJc w:val="right"/>
      <w:pPr>
        <w:ind w:left="2160" w:hanging="180"/>
      </w:pPr>
    </w:lvl>
    <w:lvl w:ilvl="3" w:tplc="658875D0" w:tentative="1">
      <w:start w:val="1"/>
      <w:numFmt w:val="decimal"/>
      <w:lvlText w:val="%4."/>
      <w:lvlJc w:val="left"/>
      <w:pPr>
        <w:ind w:left="2880" w:hanging="360"/>
      </w:pPr>
    </w:lvl>
    <w:lvl w:ilvl="4" w:tplc="0A7C7A34" w:tentative="1">
      <w:start w:val="1"/>
      <w:numFmt w:val="lowerLetter"/>
      <w:lvlText w:val="%5."/>
      <w:lvlJc w:val="left"/>
      <w:pPr>
        <w:ind w:left="3600" w:hanging="360"/>
      </w:pPr>
    </w:lvl>
    <w:lvl w:ilvl="5" w:tplc="A33CB170" w:tentative="1">
      <w:start w:val="1"/>
      <w:numFmt w:val="lowerRoman"/>
      <w:lvlText w:val="%6."/>
      <w:lvlJc w:val="right"/>
      <w:pPr>
        <w:ind w:left="4320" w:hanging="180"/>
      </w:pPr>
    </w:lvl>
    <w:lvl w:ilvl="6" w:tplc="A814B25A" w:tentative="1">
      <w:start w:val="1"/>
      <w:numFmt w:val="decimal"/>
      <w:lvlText w:val="%7."/>
      <w:lvlJc w:val="left"/>
      <w:pPr>
        <w:ind w:left="5040" w:hanging="360"/>
      </w:pPr>
    </w:lvl>
    <w:lvl w:ilvl="7" w:tplc="CA00D97C" w:tentative="1">
      <w:start w:val="1"/>
      <w:numFmt w:val="lowerLetter"/>
      <w:lvlText w:val="%8."/>
      <w:lvlJc w:val="left"/>
      <w:pPr>
        <w:ind w:left="5760" w:hanging="360"/>
      </w:pPr>
    </w:lvl>
    <w:lvl w:ilvl="8" w:tplc="1766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AC5"/>
    <w:multiLevelType w:val="hybridMultilevel"/>
    <w:tmpl w:val="273202D8"/>
    <w:lvl w:ilvl="0" w:tplc="3252C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CBAE4" w:tentative="1">
      <w:start w:val="1"/>
      <w:numFmt w:val="lowerLetter"/>
      <w:lvlText w:val="%2."/>
      <w:lvlJc w:val="left"/>
      <w:pPr>
        <w:ind w:left="1440" w:hanging="360"/>
      </w:pPr>
    </w:lvl>
    <w:lvl w:ilvl="2" w:tplc="3F46AFCA" w:tentative="1">
      <w:start w:val="1"/>
      <w:numFmt w:val="lowerRoman"/>
      <w:lvlText w:val="%3."/>
      <w:lvlJc w:val="right"/>
      <w:pPr>
        <w:ind w:left="2160" w:hanging="180"/>
      </w:pPr>
    </w:lvl>
    <w:lvl w:ilvl="3" w:tplc="5AB0A85E" w:tentative="1">
      <w:start w:val="1"/>
      <w:numFmt w:val="decimal"/>
      <w:lvlText w:val="%4."/>
      <w:lvlJc w:val="left"/>
      <w:pPr>
        <w:ind w:left="2880" w:hanging="360"/>
      </w:pPr>
    </w:lvl>
    <w:lvl w:ilvl="4" w:tplc="B144138E" w:tentative="1">
      <w:start w:val="1"/>
      <w:numFmt w:val="lowerLetter"/>
      <w:lvlText w:val="%5."/>
      <w:lvlJc w:val="left"/>
      <w:pPr>
        <w:ind w:left="3600" w:hanging="360"/>
      </w:pPr>
    </w:lvl>
    <w:lvl w:ilvl="5" w:tplc="954CF1FE" w:tentative="1">
      <w:start w:val="1"/>
      <w:numFmt w:val="lowerRoman"/>
      <w:lvlText w:val="%6."/>
      <w:lvlJc w:val="right"/>
      <w:pPr>
        <w:ind w:left="4320" w:hanging="180"/>
      </w:pPr>
    </w:lvl>
    <w:lvl w:ilvl="6" w:tplc="61660ACC" w:tentative="1">
      <w:start w:val="1"/>
      <w:numFmt w:val="decimal"/>
      <w:lvlText w:val="%7."/>
      <w:lvlJc w:val="left"/>
      <w:pPr>
        <w:ind w:left="5040" w:hanging="360"/>
      </w:pPr>
    </w:lvl>
    <w:lvl w:ilvl="7" w:tplc="850ED14A" w:tentative="1">
      <w:start w:val="1"/>
      <w:numFmt w:val="lowerLetter"/>
      <w:lvlText w:val="%8."/>
      <w:lvlJc w:val="left"/>
      <w:pPr>
        <w:ind w:left="5760" w:hanging="360"/>
      </w:pPr>
    </w:lvl>
    <w:lvl w:ilvl="8" w:tplc="8F647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63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FC6BEE"/>
    <w:multiLevelType w:val="hybridMultilevel"/>
    <w:tmpl w:val="06F8939A"/>
    <w:lvl w:ilvl="0" w:tplc="9618AEA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AFD4D7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A4B3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FE9A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E609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0AC0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782D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EC11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ECC1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969432239">
    <w:abstractNumId w:val="3"/>
  </w:num>
  <w:num w:numId="4" w16cid:durableId="980426162">
    <w:abstractNumId w:val="4"/>
  </w:num>
  <w:num w:numId="5" w16cid:durableId="409623481">
    <w:abstractNumId w:val="2"/>
  </w:num>
  <w:num w:numId="6" w16cid:durableId="115495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471F"/>
    <w:rsid w:val="00147221"/>
    <w:rsid w:val="00195A73"/>
    <w:rsid w:val="001A297B"/>
    <w:rsid w:val="002038FB"/>
    <w:rsid w:val="0025391B"/>
    <w:rsid w:val="00297558"/>
    <w:rsid w:val="002D53F6"/>
    <w:rsid w:val="002E5D7A"/>
    <w:rsid w:val="0030709F"/>
    <w:rsid w:val="00351D48"/>
    <w:rsid w:val="003C401E"/>
    <w:rsid w:val="004074CC"/>
    <w:rsid w:val="0046757F"/>
    <w:rsid w:val="004D516C"/>
    <w:rsid w:val="004E4631"/>
    <w:rsid w:val="00521C00"/>
    <w:rsid w:val="005260ED"/>
    <w:rsid w:val="0053073B"/>
    <w:rsid w:val="00543508"/>
    <w:rsid w:val="00564CA6"/>
    <w:rsid w:val="005A6B78"/>
    <w:rsid w:val="005B0728"/>
    <w:rsid w:val="005C7FA1"/>
    <w:rsid w:val="00617AAC"/>
    <w:rsid w:val="00631184"/>
    <w:rsid w:val="00631F14"/>
    <w:rsid w:val="00693F05"/>
    <w:rsid w:val="006B6A15"/>
    <w:rsid w:val="006D3451"/>
    <w:rsid w:val="006D513B"/>
    <w:rsid w:val="0074092B"/>
    <w:rsid w:val="0079484F"/>
    <w:rsid w:val="007B4DDB"/>
    <w:rsid w:val="007C6241"/>
    <w:rsid w:val="007D4AFB"/>
    <w:rsid w:val="007F7CAD"/>
    <w:rsid w:val="00807D6F"/>
    <w:rsid w:val="008257F8"/>
    <w:rsid w:val="008B75C3"/>
    <w:rsid w:val="008E3846"/>
    <w:rsid w:val="00907484"/>
    <w:rsid w:val="009139A1"/>
    <w:rsid w:val="00931891"/>
    <w:rsid w:val="00953EAB"/>
    <w:rsid w:val="0096350B"/>
    <w:rsid w:val="0097038F"/>
    <w:rsid w:val="00996740"/>
    <w:rsid w:val="009A3989"/>
    <w:rsid w:val="009B7F8F"/>
    <w:rsid w:val="00A254B5"/>
    <w:rsid w:val="00A35AD6"/>
    <w:rsid w:val="00A52B04"/>
    <w:rsid w:val="00B36CD4"/>
    <w:rsid w:val="00B4014F"/>
    <w:rsid w:val="00B42184"/>
    <w:rsid w:val="00B47C10"/>
    <w:rsid w:val="00BB16A4"/>
    <w:rsid w:val="00BB21D5"/>
    <w:rsid w:val="00BE75D1"/>
    <w:rsid w:val="00C55C6B"/>
    <w:rsid w:val="00C82360"/>
    <w:rsid w:val="00C9477C"/>
    <w:rsid w:val="00CB589C"/>
    <w:rsid w:val="00CC1B2F"/>
    <w:rsid w:val="00CE1926"/>
    <w:rsid w:val="00CF16C2"/>
    <w:rsid w:val="00D737CC"/>
    <w:rsid w:val="00D86969"/>
    <w:rsid w:val="00DE0C6A"/>
    <w:rsid w:val="00DE4A3E"/>
    <w:rsid w:val="00E46836"/>
    <w:rsid w:val="00E52DA2"/>
    <w:rsid w:val="00E75D8D"/>
    <w:rsid w:val="00E92556"/>
    <w:rsid w:val="00EB6400"/>
    <w:rsid w:val="00EC4544"/>
    <w:rsid w:val="00EF06E1"/>
    <w:rsid w:val="00F64630"/>
    <w:rsid w:val="00F919A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B6A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2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5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A3E"/>
  </w:style>
  <w:style w:type="character" w:styleId="CommentReference">
    <w:name w:val="annotation reference"/>
    <w:basedOn w:val="DefaultParagraphFont"/>
    <w:uiPriority w:val="99"/>
    <w:semiHidden/>
    <w:unhideWhenUsed/>
    <w:rsid w:val="00E4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0708-DAC1-4FB2-AA3B-501066D5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2762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30</cp:revision>
  <dcterms:created xsi:type="dcterms:W3CDTF">2024-06-01T14:06:00Z</dcterms:created>
  <dcterms:modified xsi:type="dcterms:W3CDTF">2025-01-30T14:08:00Z</dcterms:modified>
</cp:coreProperties>
</file>