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406BAA" w:rsidP="009E5B30" w14:paraId="7E855116" w14:textId="058E5D08">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406BAA" w14:paraId="5B84AFE7" w14:textId="77777777"/>
    <w:p w:rsidR="002A1421" w:rsidP="002A1421" w14:paraId="6A4742BA" w14:textId="77777777">
      <w:pPr>
        <w:contextualSpacing/>
        <w:rPr>
          <w:lang w:val="en-GB"/>
        </w:rPr>
      </w:pPr>
      <w:r w:rsidRPr="007B31D5">
        <w:rPr>
          <w:noProof/>
          <w:lang w:val="en-GB"/>
        </w:rPr>
        <w:t>Datums skatāms laika zīmogā</w:t>
      </w:r>
      <w:r>
        <w:rPr>
          <w:lang w:val="en-GB"/>
        </w:rPr>
        <w:t xml:space="preserve"> </w:t>
      </w:r>
      <w:r>
        <w:rPr>
          <w:lang w:val="en-GB"/>
        </w:rPr>
        <w:tab/>
      </w:r>
      <w:r>
        <w:rPr>
          <w:lang w:val="en-GB"/>
        </w:rPr>
        <w:tab/>
      </w:r>
      <w:r>
        <w:rPr>
          <w:lang w:val="en-GB"/>
        </w:rPr>
        <w:tab/>
      </w:r>
      <w:r>
        <w:rPr>
          <w:lang w:val="en-GB"/>
        </w:rPr>
        <w:tab/>
      </w:r>
      <w:r>
        <w:rPr>
          <w:lang w:val="en-GB"/>
        </w:rPr>
        <w:tab/>
      </w:r>
      <w:r w:rsidRPr="009E0284">
        <w:rPr>
          <w:lang w:val="en-GB"/>
        </w:rPr>
        <w:t>Nr.</w:t>
      </w:r>
      <w:r w:rsidRPr="007B31D5">
        <w:t xml:space="preserve"> </w:t>
      </w:r>
      <w:r w:rsidRPr="007B31D5">
        <w:rPr>
          <w:noProof/>
          <w:lang w:val="en-GB"/>
        </w:rPr>
        <w:t>ĀNP/1-12-1/25/428</w:t>
      </w:r>
    </w:p>
    <w:p w:rsidR="00406BAA" w:rsidP="00AF74E0" w14:paraId="69F9748F" w14:textId="77777777">
      <w:pPr>
        <w:jc w:val="both"/>
      </w:pPr>
      <w:r>
        <w:tab/>
      </w:r>
      <w:r>
        <w:tab/>
      </w:r>
    </w:p>
    <w:p w:rsidR="00C81F6D" w:rsidRPr="002A1421" w:rsidP="00C81F6D" w14:paraId="21F97A54" w14:textId="77777777">
      <w:pPr>
        <w:jc w:val="right"/>
        <w:rPr>
          <w:b/>
          <w:bCs/>
        </w:rPr>
      </w:pPr>
      <w:r w:rsidRPr="002A1421">
        <w:rPr>
          <w:b/>
          <w:bCs/>
        </w:rPr>
        <w:t>Valsts kasei</w:t>
      </w:r>
    </w:p>
    <w:p w:rsidR="00C81F6D" w:rsidP="00C81F6D" w14:paraId="7AD69CF6" w14:textId="77777777">
      <w:pPr>
        <w:jc w:val="right"/>
      </w:pPr>
      <w:r>
        <w:t>Iesniegšanai e-Pārskatu sistēmā</w:t>
      </w:r>
    </w:p>
    <w:p w:rsidR="00C81F6D" w:rsidP="00C81F6D" w14:paraId="16508F44" w14:textId="77777777">
      <w:pPr>
        <w:jc w:val="right"/>
      </w:pPr>
    </w:p>
    <w:p w:rsidR="00C81F6D" w:rsidRPr="0087779A" w:rsidP="00A64274" w14:paraId="2B94EDF5" w14:textId="2FE2B63E">
      <w:pPr>
        <w:jc w:val="both"/>
        <w:rPr>
          <w:b/>
          <w:bCs/>
          <w:iCs/>
        </w:rPr>
      </w:pPr>
      <w:r w:rsidRPr="0087779A">
        <w:rPr>
          <w:b/>
          <w:bCs/>
          <w:iCs/>
        </w:rPr>
        <w:t xml:space="preserve">Par Ādažu novada pašvaldības </w:t>
      </w:r>
      <w:r w:rsidR="004A5725">
        <w:rPr>
          <w:b/>
          <w:bCs/>
          <w:iCs/>
        </w:rPr>
        <w:t xml:space="preserve">konsolidētā </w:t>
      </w:r>
      <w:r w:rsidR="00960B2E">
        <w:rPr>
          <w:b/>
          <w:bCs/>
          <w:iCs/>
        </w:rPr>
        <w:t>2024.</w:t>
      </w:r>
      <w:r w:rsidRPr="0087779A">
        <w:rPr>
          <w:b/>
          <w:bCs/>
          <w:iCs/>
        </w:rPr>
        <w:t>gada pārskata sagatavošanas principiem</w:t>
      </w:r>
    </w:p>
    <w:p w:rsidR="00C81F6D" w:rsidRPr="004C5A5B" w:rsidP="00C81F6D" w14:paraId="0B79AA12" w14:textId="77777777">
      <w:pPr>
        <w:jc w:val="both"/>
      </w:pPr>
    </w:p>
    <w:p w:rsidR="00C81F6D" w:rsidRPr="00BD090F" w:rsidP="00C81F6D" w14:paraId="557E34C0" w14:textId="49E8CE43">
      <w:pPr>
        <w:jc w:val="center"/>
        <w:rPr>
          <w:b/>
          <w:sz w:val="28"/>
          <w:szCs w:val="28"/>
          <w:lang w:eastAsia="en-US"/>
        </w:rPr>
      </w:pPr>
      <w:r>
        <w:rPr>
          <w:b/>
          <w:sz w:val="28"/>
          <w:szCs w:val="28"/>
          <w:lang w:eastAsia="en-US"/>
        </w:rPr>
        <w:t xml:space="preserve">KONSOLIDĒTĀ </w:t>
      </w:r>
      <w:r w:rsidRPr="00BD090F">
        <w:rPr>
          <w:b/>
          <w:sz w:val="28"/>
          <w:szCs w:val="28"/>
          <w:lang w:eastAsia="en-US"/>
        </w:rPr>
        <w:t>GADA PĀRSKATA SAGATAVOŠANAS PRINCIP</w:t>
      </w:r>
      <w:r w:rsidR="0005507C">
        <w:rPr>
          <w:b/>
          <w:sz w:val="28"/>
          <w:szCs w:val="28"/>
          <w:lang w:eastAsia="en-US"/>
        </w:rPr>
        <w:t>U APRAKSTS</w:t>
      </w:r>
    </w:p>
    <w:p w:rsidR="00C81F6D" w:rsidRPr="00BD090F" w:rsidP="00C81F6D" w14:paraId="65BA9D23" w14:textId="77777777">
      <w:pPr>
        <w:rPr>
          <w:b/>
          <w:sz w:val="28"/>
          <w:szCs w:val="28"/>
          <w:lang w:eastAsia="en-US"/>
        </w:rPr>
      </w:pPr>
    </w:p>
    <w:p w:rsidR="0005507C" w:rsidRPr="0005507C" w:rsidP="00662F3C" w14:paraId="3B68B942" w14:textId="636AC17C">
      <w:pPr>
        <w:pStyle w:val="ListParagraph"/>
        <w:numPr>
          <w:ilvl w:val="0"/>
          <w:numId w:val="10"/>
        </w:numPr>
        <w:ind w:left="284" w:hanging="284"/>
        <w:rPr>
          <w:b/>
        </w:rPr>
      </w:pPr>
      <w:r>
        <w:rPr>
          <w:b/>
        </w:rPr>
        <w:t xml:space="preserve">KONSOLIDĒTĀ </w:t>
      </w:r>
      <w:r w:rsidRPr="0005507C">
        <w:rPr>
          <w:b/>
        </w:rPr>
        <w:t>GADA PĀRSKATA SAGATAVOŠANAS VISPĀRĒJIE PRINCIPI</w:t>
      </w:r>
    </w:p>
    <w:p w:rsidR="0005507C" w:rsidRPr="0005507C" w:rsidP="0005507C" w14:paraId="28CE0259" w14:textId="77777777">
      <w:pPr>
        <w:rPr>
          <w:b/>
        </w:rPr>
      </w:pPr>
    </w:p>
    <w:p w:rsidR="00C81F6D" w:rsidRPr="008A1F40" w:rsidP="00662F3C" w14:paraId="432B3D6D" w14:textId="1E778AF5">
      <w:pPr>
        <w:pStyle w:val="ListParagraph"/>
        <w:numPr>
          <w:ilvl w:val="1"/>
          <w:numId w:val="10"/>
        </w:numPr>
        <w:ind w:left="426" w:hanging="426"/>
        <w:rPr>
          <w:b/>
        </w:rPr>
      </w:pPr>
      <w:r>
        <w:rPr>
          <w:b/>
        </w:rPr>
        <w:t xml:space="preserve">KONSOLIDĒTĀ </w:t>
      </w:r>
      <w:r w:rsidRPr="008A1F40">
        <w:rPr>
          <w:b/>
        </w:rPr>
        <w:t>GADA PĀSRKATA SAGATAVOŠANAS PAMATS</w:t>
      </w:r>
    </w:p>
    <w:p w:rsidR="00C81F6D" w:rsidRPr="00BD090F" w:rsidP="008A1F40" w14:paraId="6CE06625" w14:textId="3AB8F801">
      <w:pPr>
        <w:jc w:val="both"/>
      </w:pPr>
      <w:r>
        <w:t>Slēguma</w:t>
      </w:r>
      <w:r w:rsidRPr="00BD090F">
        <w:t xml:space="preserve"> pārskats sagatavots saskaņā ar: </w:t>
      </w:r>
    </w:p>
    <w:p w:rsidR="009F653D" w:rsidP="00662F3C" w14:paraId="22A795D6" w14:textId="77777777">
      <w:pPr>
        <w:pStyle w:val="ListParagraph"/>
        <w:numPr>
          <w:ilvl w:val="0"/>
          <w:numId w:val="11"/>
        </w:numPr>
        <w:ind w:left="426" w:hanging="426"/>
        <w:jc w:val="both"/>
      </w:pPr>
      <w:r w:rsidRPr="00BD090F">
        <w:t>uzkrāšanas principu un naudas plūsmas principu;</w:t>
      </w:r>
    </w:p>
    <w:p w:rsidR="009F653D" w:rsidP="00662F3C" w14:paraId="047D7BEA" w14:textId="77777777">
      <w:pPr>
        <w:pStyle w:val="ListParagraph"/>
        <w:numPr>
          <w:ilvl w:val="0"/>
          <w:numId w:val="11"/>
        </w:numPr>
        <w:ind w:left="426" w:hanging="426"/>
        <w:jc w:val="both"/>
      </w:pPr>
      <w:r w:rsidRPr="00BD090F">
        <w:t xml:space="preserve">darbības </w:t>
      </w:r>
      <w:r w:rsidRPr="00BD090F">
        <w:t>turpināšanas principu;</w:t>
      </w:r>
    </w:p>
    <w:p w:rsidR="00C81F6D" w:rsidRPr="005370CA" w:rsidP="00662F3C" w14:paraId="3B86AAD7" w14:textId="32DA8718">
      <w:pPr>
        <w:pStyle w:val="ListParagraph"/>
        <w:numPr>
          <w:ilvl w:val="0"/>
          <w:numId w:val="11"/>
        </w:numPr>
        <w:ind w:left="426" w:hanging="426"/>
        <w:jc w:val="both"/>
      </w:pPr>
      <w:r w:rsidRPr="00BD090F">
        <w:t xml:space="preserve">grāmatvedības uzskaites datiem, kurus klasificē atbilstoši normatīvajiem aktiem budžeta iestāžu grāmatvedības uzskaites un budžetu klasifikācijas jomā. </w:t>
      </w:r>
    </w:p>
    <w:p w:rsidR="00C81F6D" w:rsidRPr="00BD090F" w:rsidP="00C81F6D" w14:paraId="3854D080" w14:textId="77777777">
      <w:pPr>
        <w:jc w:val="both"/>
        <w:rPr>
          <w:lang w:eastAsia="en-US"/>
        </w:rPr>
      </w:pPr>
      <w:r>
        <w:rPr>
          <w:lang w:eastAsia="en-US"/>
        </w:rPr>
        <w:t>G</w:t>
      </w:r>
      <w:r w:rsidRPr="00BD090F">
        <w:rPr>
          <w:lang w:eastAsia="en-US"/>
        </w:rPr>
        <w:t xml:space="preserve">ada pārskata finanšu un </w:t>
      </w:r>
      <w:r w:rsidRPr="00BD090F">
        <w:rPr>
          <w:lang w:eastAsia="en-US"/>
        </w:rPr>
        <w:t>nefinanšu</w:t>
      </w:r>
      <w:r w:rsidRPr="00BD090F">
        <w:rPr>
          <w:lang w:eastAsia="en-US"/>
        </w:rPr>
        <w:t xml:space="preserve"> informācija sagatavota, ievērojot šādas kvalitātes pazīmes – patiesums, nozīmīgums, saprotamība, savlaicīgums, salīdzināmība un pārbaudāmība. </w:t>
      </w:r>
    </w:p>
    <w:p w:rsidR="00C81F6D" w:rsidRPr="00BD090F" w:rsidP="00C81F6D" w14:paraId="3BCF98E9" w14:textId="4D09EF0A">
      <w:pPr>
        <w:jc w:val="both"/>
        <w:rPr>
          <w:lang w:eastAsia="en-US"/>
        </w:rPr>
      </w:pPr>
      <w:r>
        <w:rPr>
          <w:lang w:eastAsia="en-US"/>
        </w:rPr>
        <w:t>G</w:t>
      </w:r>
      <w:r w:rsidRPr="00BD090F">
        <w:rPr>
          <w:lang w:eastAsia="en-US"/>
        </w:rPr>
        <w:t>ada pārskats sagatavots atbilstoši normatīvajiem aktiem:</w:t>
      </w:r>
    </w:p>
    <w:p w:rsidR="005370CA" w:rsidP="00AD4F9C" w14:paraId="7DEDFD36" w14:textId="55519069">
      <w:pPr>
        <w:pStyle w:val="ListParagraph"/>
        <w:numPr>
          <w:ilvl w:val="0"/>
          <w:numId w:val="2"/>
        </w:numPr>
        <w:ind w:left="426" w:hanging="426"/>
        <w:jc w:val="both"/>
      </w:pPr>
      <w:r w:rsidRPr="00BD090F">
        <w:t>LR likumiem:</w:t>
      </w:r>
      <w:r>
        <w:t xml:space="preserve"> </w:t>
      </w:r>
      <w:r w:rsidRPr="00CA7C1C">
        <w:t>„</w:t>
      </w:r>
      <w:r w:rsidRPr="00CA7C1C" w:rsidR="00152653">
        <w:t>Pašvaldību likums</w:t>
      </w:r>
      <w:r w:rsidRPr="00CA7C1C">
        <w:t>”,</w:t>
      </w:r>
      <w:r w:rsidRPr="00BD090F">
        <w:t xml:space="preserve"> „Par pašvaldību budžetiem”, „Par budžetu un finanšu vadību”</w:t>
      </w:r>
      <w:r>
        <w:t>,</w:t>
      </w:r>
      <w:r w:rsidRPr="00CF1F7D">
        <w:t xml:space="preserve"> </w:t>
      </w:r>
      <w:r w:rsidRPr="00BD090F">
        <w:t>„</w:t>
      </w:r>
      <w:r>
        <w:t>G</w:t>
      </w:r>
      <w:r w:rsidRPr="00BD090F">
        <w:t>rāmatvedīb</w:t>
      </w:r>
      <w:r>
        <w:t>as likums</w:t>
      </w:r>
      <w:r w:rsidRPr="00BD090F">
        <w:t>”</w:t>
      </w:r>
      <w:r>
        <w:t>;</w:t>
      </w:r>
      <w:r w:rsidRPr="00BD090F">
        <w:t xml:space="preserve"> </w:t>
      </w:r>
    </w:p>
    <w:p w:rsidR="005370CA" w:rsidRPr="00BD090F" w:rsidP="005370CA" w14:paraId="2E180983" w14:textId="77777777">
      <w:pPr>
        <w:pStyle w:val="ListParagraph"/>
        <w:numPr>
          <w:ilvl w:val="0"/>
          <w:numId w:val="2"/>
        </w:numPr>
        <w:ind w:left="426" w:hanging="426"/>
        <w:jc w:val="both"/>
      </w:pPr>
      <w:r w:rsidRPr="00BD090F">
        <w:t>Ministru kabineta noteikumiem:</w:t>
      </w:r>
    </w:p>
    <w:p w:rsidR="005370CA" w:rsidRPr="00BD090F" w:rsidP="005370CA" w14:paraId="6B31BB08" w14:textId="77777777">
      <w:pPr>
        <w:numPr>
          <w:ilvl w:val="0"/>
          <w:numId w:val="3"/>
        </w:numPr>
        <w:ind w:left="426" w:firstLine="0"/>
        <w:jc w:val="both"/>
        <w:rPr>
          <w:lang w:eastAsia="en-US"/>
        </w:rPr>
      </w:pPr>
      <w:r w:rsidRPr="00BD090F">
        <w:rPr>
          <w:lang w:eastAsia="en-US"/>
        </w:rPr>
        <w:t>2018.gada 13.februāra noteikumiem nr.87 “Grāmatvedības uzskaites kārtība budžeta iestādēs”;</w:t>
      </w:r>
    </w:p>
    <w:p w:rsidR="005370CA" w:rsidRPr="00BD090F" w:rsidP="005370CA" w14:paraId="6DE116F1" w14:textId="4A7FF6C2">
      <w:pPr>
        <w:numPr>
          <w:ilvl w:val="0"/>
          <w:numId w:val="3"/>
        </w:numPr>
        <w:ind w:left="426" w:firstLine="0"/>
        <w:jc w:val="both"/>
        <w:rPr>
          <w:lang w:eastAsia="en-US"/>
        </w:rPr>
      </w:pPr>
      <w:r w:rsidRPr="00BD090F">
        <w:rPr>
          <w:lang w:eastAsia="en-US"/>
        </w:rPr>
        <w:t>20</w:t>
      </w:r>
      <w:r w:rsidR="00F9054E">
        <w:rPr>
          <w:lang w:eastAsia="en-US"/>
        </w:rPr>
        <w:t>21</w:t>
      </w:r>
      <w:r w:rsidRPr="00BD090F">
        <w:rPr>
          <w:lang w:eastAsia="en-US"/>
        </w:rPr>
        <w:t xml:space="preserve">.gada </w:t>
      </w:r>
      <w:r w:rsidR="00F9054E">
        <w:rPr>
          <w:lang w:eastAsia="en-US"/>
        </w:rPr>
        <w:t>28.septembra</w:t>
      </w:r>
      <w:r w:rsidRPr="00BD090F">
        <w:rPr>
          <w:lang w:eastAsia="en-US"/>
        </w:rPr>
        <w:t xml:space="preserve"> noteikumiem nr.</w:t>
      </w:r>
      <w:r w:rsidR="00F9054E">
        <w:rPr>
          <w:lang w:eastAsia="en-US"/>
        </w:rPr>
        <w:t>652</w:t>
      </w:r>
      <w:r w:rsidRPr="00BD090F">
        <w:rPr>
          <w:lang w:eastAsia="en-US"/>
        </w:rPr>
        <w:t xml:space="preserve"> “Gada pārskata sagatavošanas kārtība”;</w:t>
      </w:r>
    </w:p>
    <w:p w:rsidR="005370CA" w:rsidRPr="00BD090F" w:rsidP="005370CA" w14:paraId="6F3A1143" w14:textId="4E247EF3">
      <w:pPr>
        <w:numPr>
          <w:ilvl w:val="0"/>
          <w:numId w:val="3"/>
        </w:numPr>
        <w:ind w:left="426" w:firstLine="0"/>
        <w:jc w:val="both"/>
        <w:rPr>
          <w:lang w:eastAsia="en-US"/>
        </w:rPr>
      </w:pPr>
      <w:r w:rsidRPr="00BD090F">
        <w:rPr>
          <w:lang w:eastAsia="en-US"/>
        </w:rPr>
        <w:t>20</w:t>
      </w:r>
      <w:r>
        <w:rPr>
          <w:lang w:eastAsia="en-US"/>
        </w:rPr>
        <w:t>2</w:t>
      </w:r>
      <w:r w:rsidR="00161A08">
        <w:rPr>
          <w:lang w:eastAsia="en-US"/>
        </w:rPr>
        <w:t>1</w:t>
      </w:r>
      <w:r w:rsidRPr="00BD090F">
        <w:rPr>
          <w:lang w:eastAsia="en-US"/>
        </w:rPr>
        <w:t>.gada</w:t>
      </w:r>
      <w:r w:rsidR="00161A08">
        <w:rPr>
          <w:lang w:eastAsia="en-US"/>
        </w:rPr>
        <w:t xml:space="preserve"> </w:t>
      </w:r>
      <w:r w:rsidRPr="00BD090F">
        <w:rPr>
          <w:lang w:eastAsia="en-US"/>
        </w:rPr>
        <w:t>1</w:t>
      </w:r>
      <w:r w:rsidR="00161A08">
        <w:rPr>
          <w:lang w:eastAsia="en-US"/>
        </w:rPr>
        <w:t>4.septembra</w:t>
      </w:r>
      <w:r w:rsidRPr="00BD090F">
        <w:rPr>
          <w:lang w:eastAsia="en-US"/>
        </w:rPr>
        <w:t xml:space="preserve"> noteikumiem nr.</w:t>
      </w:r>
      <w:r>
        <w:rPr>
          <w:lang w:eastAsia="en-US"/>
        </w:rPr>
        <w:t>625</w:t>
      </w:r>
      <w:r w:rsidR="00161A08">
        <w:rPr>
          <w:lang w:eastAsia="en-US"/>
        </w:rPr>
        <w:t xml:space="preserve"> “</w:t>
      </w:r>
      <w:r>
        <w:t>Prasības kases ieņēmumu un kases izdevumu attaisnojuma dokumentiem un kases grāmatas kārtošanai</w:t>
      </w:r>
      <w:r w:rsidRPr="00BD090F">
        <w:rPr>
          <w:lang w:eastAsia="en-US"/>
        </w:rPr>
        <w:t>”;</w:t>
      </w:r>
    </w:p>
    <w:p w:rsidR="005370CA" w:rsidRPr="00BD090F" w:rsidP="005370CA" w14:paraId="21B51EF8" w14:textId="77777777">
      <w:pPr>
        <w:numPr>
          <w:ilvl w:val="0"/>
          <w:numId w:val="3"/>
        </w:numPr>
        <w:ind w:left="426" w:firstLine="0"/>
        <w:jc w:val="both"/>
        <w:rPr>
          <w:lang w:eastAsia="en-US"/>
        </w:rPr>
      </w:pPr>
      <w:r w:rsidRPr="00BD090F">
        <w:rPr>
          <w:lang w:eastAsia="en-US"/>
        </w:rPr>
        <w:t>2005.gada 13.decembra noteikumiem nr.934 “Noteikumi par budžeta izdevumu klasifikāciju atbilstoši funkcionālajām kategorijām”;</w:t>
      </w:r>
    </w:p>
    <w:p w:rsidR="005370CA" w:rsidRPr="00BD090F" w:rsidP="005370CA" w14:paraId="3C71CBAA" w14:textId="77777777">
      <w:pPr>
        <w:numPr>
          <w:ilvl w:val="0"/>
          <w:numId w:val="3"/>
        </w:numPr>
        <w:ind w:left="426" w:firstLine="0"/>
        <w:jc w:val="both"/>
        <w:rPr>
          <w:lang w:eastAsia="en-US"/>
        </w:rPr>
      </w:pPr>
      <w:r w:rsidRPr="00BD090F">
        <w:rPr>
          <w:lang w:eastAsia="en-US"/>
        </w:rPr>
        <w:t>2005.gada 27.decembra noteikumiem nr.1031 “Noteikumi par budžeta izdevumu klasifikāciju atbilstoši ekonomiskajām kategorijām”;</w:t>
      </w:r>
    </w:p>
    <w:p w:rsidR="005370CA" w:rsidRPr="00BD090F" w:rsidP="005370CA" w14:paraId="749EFBBE" w14:textId="77777777">
      <w:pPr>
        <w:numPr>
          <w:ilvl w:val="0"/>
          <w:numId w:val="3"/>
        </w:numPr>
        <w:ind w:left="426" w:firstLine="0"/>
        <w:jc w:val="both"/>
        <w:rPr>
          <w:lang w:eastAsia="en-US"/>
        </w:rPr>
      </w:pPr>
      <w:r w:rsidRPr="00BD090F">
        <w:rPr>
          <w:lang w:eastAsia="en-US"/>
        </w:rPr>
        <w:t>2005.gada 27.decembra noteikumiem nr.1032 “Noteikumi par budžeta ieņēmumu klasifikāciju”;</w:t>
      </w:r>
    </w:p>
    <w:p w:rsidR="005370CA" w:rsidRPr="00BD090F" w:rsidP="005370CA" w14:paraId="122C90B4" w14:textId="77777777">
      <w:pPr>
        <w:numPr>
          <w:ilvl w:val="0"/>
          <w:numId w:val="3"/>
        </w:numPr>
        <w:ind w:left="426" w:firstLine="0"/>
        <w:jc w:val="both"/>
        <w:rPr>
          <w:lang w:eastAsia="en-US"/>
        </w:rPr>
      </w:pPr>
      <w:r w:rsidRPr="00BD090F">
        <w:rPr>
          <w:lang w:eastAsia="en-US"/>
        </w:rPr>
        <w:t>2005.gada 22.novembra noteikumiem nr.875 “Noteikumi par budžeta finansēšanas klasifikāciju”;</w:t>
      </w:r>
    </w:p>
    <w:p w:rsidR="005370CA" w:rsidP="005370CA" w14:paraId="52B7F36D" w14:textId="77777777">
      <w:pPr>
        <w:numPr>
          <w:ilvl w:val="0"/>
          <w:numId w:val="3"/>
        </w:numPr>
        <w:ind w:left="426" w:firstLine="0"/>
        <w:jc w:val="both"/>
        <w:rPr>
          <w:lang w:eastAsia="en-US"/>
        </w:rPr>
      </w:pPr>
      <w:r w:rsidRPr="00BD090F">
        <w:rPr>
          <w:lang w:eastAsia="en-US"/>
        </w:rPr>
        <w:t>2013.gada 10. decembra noteikumiem nr.1456 “Noteikumi par institucionālo sektoru klasifikāciju”</w:t>
      </w:r>
      <w:r>
        <w:rPr>
          <w:lang w:eastAsia="en-US"/>
        </w:rPr>
        <w:t>.</w:t>
      </w:r>
    </w:p>
    <w:p w:rsidR="005370CA" w:rsidRPr="00BD090F" w:rsidP="005370CA" w14:paraId="7602729D" w14:textId="77777777">
      <w:pPr>
        <w:pStyle w:val="ListParagraph"/>
        <w:numPr>
          <w:ilvl w:val="0"/>
          <w:numId w:val="2"/>
        </w:numPr>
        <w:ind w:left="426" w:hanging="426"/>
        <w:jc w:val="both"/>
      </w:pPr>
      <w:r w:rsidRPr="00420EFD">
        <w:t xml:space="preserve">Ādažu novada </w:t>
      </w:r>
      <w:r>
        <w:t>pašvaldības</w:t>
      </w:r>
      <w:r w:rsidRPr="00420EFD">
        <w:t xml:space="preserve"> 202</w:t>
      </w:r>
      <w:r>
        <w:t>2</w:t>
      </w:r>
      <w:r w:rsidRPr="00420EFD">
        <w:t xml:space="preserve">. gada </w:t>
      </w:r>
      <w:r>
        <w:t>12</w:t>
      </w:r>
      <w:r w:rsidRPr="00420EFD">
        <w:t xml:space="preserve">. </w:t>
      </w:r>
      <w:r>
        <w:t>decembra</w:t>
      </w:r>
      <w:r w:rsidRPr="00420EFD">
        <w:t xml:space="preserve"> noteikumi </w:t>
      </w:r>
      <w:r w:rsidRPr="00420EFD">
        <w:t>Nr.</w:t>
      </w:r>
      <w:r>
        <w:t>ĀNP</w:t>
      </w:r>
      <w:r>
        <w:t>/1-5-1/22/44</w:t>
      </w:r>
      <w:r w:rsidRPr="00420EFD">
        <w:t xml:space="preserve"> “Grāmatvedības organizācijas un uzskaites kārtība Ādažu novada pašvaldībā”</w:t>
      </w:r>
      <w:r>
        <w:t>.</w:t>
      </w:r>
    </w:p>
    <w:p w:rsidR="00C81F6D" w:rsidP="00C81F6D" w14:paraId="7FCE5CDF" w14:textId="77777777">
      <w:pPr>
        <w:jc w:val="both"/>
        <w:rPr>
          <w:lang w:eastAsia="en-US"/>
        </w:rPr>
      </w:pPr>
      <w:r w:rsidRPr="00BD090F">
        <w:rPr>
          <w:lang w:eastAsia="en-US"/>
        </w:rPr>
        <w:t>Iestādes vadība ir atbildīga par</w:t>
      </w:r>
      <w:r>
        <w:rPr>
          <w:lang w:eastAsia="en-US"/>
        </w:rPr>
        <w:t xml:space="preserve"> G</w:t>
      </w:r>
      <w:r w:rsidRPr="00BD090F">
        <w:rPr>
          <w:lang w:eastAsia="en-US"/>
        </w:rPr>
        <w:t>ada pārskata sagatavošanu atbilstoši normatīvo aktu prasībām, iesniegšanu revidenta revīzijai (pārbaudei), apstiprināšanu, iesniegšanu iestādei, kas veic konsolidāciju un publiskošanas kārtību.</w:t>
      </w:r>
    </w:p>
    <w:p w:rsidR="00634DB7" w:rsidRPr="00BD090F" w:rsidP="00C81F6D" w14:paraId="06343FEF" w14:textId="77777777">
      <w:pPr>
        <w:jc w:val="both"/>
        <w:rPr>
          <w:lang w:eastAsia="en-US"/>
        </w:rPr>
      </w:pPr>
    </w:p>
    <w:p w:rsidR="00C81F6D" w:rsidRPr="00A06A11" w:rsidP="00662F3C" w14:paraId="351F723B" w14:textId="61AC68AD">
      <w:pPr>
        <w:pStyle w:val="ListParagraph"/>
        <w:numPr>
          <w:ilvl w:val="1"/>
          <w:numId w:val="10"/>
        </w:numPr>
        <w:ind w:left="426" w:hanging="426"/>
        <w:rPr>
          <w:b/>
        </w:rPr>
      </w:pPr>
      <w:r w:rsidRPr="00A06A11">
        <w:rPr>
          <w:b/>
        </w:rPr>
        <w:t>GADA PĀRSKATA PERIODS, SAGATAVOŠANAS DATUMI UN VALODA</w:t>
      </w:r>
    </w:p>
    <w:p w:rsidR="00C81F6D" w:rsidRPr="00BD090F" w:rsidP="00C81F6D" w14:paraId="21A6A5CF" w14:textId="2E38AC0F">
      <w:pPr>
        <w:jc w:val="both"/>
        <w:rPr>
          <w:lang w:eastAsia="en-US"/>
        </w:rPr>
      </w:pPr>
      <w:r w:rsidRPr="00BD090F">
        <w:rPr>
          <w:lang w:eastAsia="en-US"/>
        </w:rPr>
        <w:t>Pārskata periods ir no 20</w:t>
      </w:r>
      <w:r>
        <w:rPr>
          <w:lang w:eastAsia="en-US"/>
        </w:rPr>
        <w:t>2</w:t>
      </w:r>
      <w:r w:rsidR="00915ED4">
        <w:rPr>
          <w:lang w:eastAsia="en-US"/>
        </w:rPr>
        <w:t>4</w:t>
      </w:r>
      <w:r w:rsidRPr="00BD090F">
        <w:rPr>
          <w:lang w:eastAsia="en-US"/>
        </w:rPr>
        <w:t>.</w:t>
      </w:r>
      <w:r w:rsidR="00EF09A5">
        <w:rPr>
          <w:lang w:eastAsia="en-US"/>
        </w:rPr>
        <w:t xml:space="preserve"> </w:t>
      </w:r>
      <w:r w:rsidRPr="00BD090F">
        <w:rPr>
          <w:lang w:eastAsia="en-US"/>
        </w:rPr>
        <w:t>gada 1.</w:t>
      </w:r>
      <w:r w:rsidR="00EF09A5">
        <w:rPr>
          <w:lang w:eastAsia="en-US"/>
        </w:rPr>
        <w:t xml:space="preserve"> </w:t>
      </w:r>
      <w:r w:rsidRPr="00BD090F">
        <w:rPr>
          <w:lang w:eastAsia="en-US"/>
        </w:rPr>
        <w:t>janvāra līdz 20</w:t>
      </w:r>
      <w:r>
        <w:rPr>
          <w:lang w:eastAsia="en-US"/>
        </w:rPr>
        <w:t>2</w:t>
      </w:r>
      <w:r w:rsidR="00915ED4">
        <w:rPr>
          <w:lang w:eastAsia="en-US"/>
        </w:rPr>
        <w:t>4</w:t>
      </w:r>
      <w:r w:rsidRPr="00BD090F">
        <w:rPr>
          <w:lang w:eastAsia="en-US"/>
        </w:rPr>
        <w:t>.</w:t>
      </w:r>
      <w:r w:rsidR="00EF09A5">
        <w:rPr>
          <w:lang w:eastAsia="en-US"/>
        </w:rPr>
        <w:t xml:space="preserve"> </w:t>
      </w:r>
      <w:r w:rsidRPr="00BD090F">
        <w:rPr>
          <w:lang w:eastAsia="en-US"/>
        </w:rPr>
        <w:t>gada 31.</w:t>
      </w:r>
      <w:r w:rsidR="00EF09A5">
        <w:rPr>
          <w:lang w:eastAsia="en-US"/>
        </w:rPr>
        <w:t xml:space="preserve"> </w:t>
      </w:r>
      <w:r w:rsidRPr="00BD090F">
        <w:rPr>
          <w:lang w:eastAsia="en-US"/>
        </w:rPr>
        <w:t xml:space="preserve">decembrim. </w:t>
      </w:r>
    </w:p>
    <w:p w:rsidR="00915ED4" w:rsidRPr="00915ED4" w:rsidP="00915ED4" w14:paraId="47550D8A" w14:textId="26430997">
      <w:pPr>
        <w:rPr>
          <w:lang w:eastAsia="en-US"/>
        </w:rPr>
      </w:pPr>
      <w:r w:rsidRPr="009C4C28">
        <w:rPr>
          <w:lang w:eastAsia="en-US"/>
        </w:rPr>
        <w:t xml:space="preserve">Gada pārskata datums: </w:t>
      </w:r>
      <w:r w:rsidRPr="00915ED4">
        <w:rPr>
          <w:lang w:eastAsia="en-US"/>
        </w:rPr>
        <w:t>tā pārskata perioda pēdējā kalendāra diena, uz kuru attiecas finanšu pārskats</w:t>
      </w:r>
      <w:r>
        <w:rPr>
          <w:lang w:eastAsia="en-US"/>
        </w:rPr>
        <w:t>:</w:t>
      </w:r>
    </w:p>
    <w:p w:rsidR="00C81F6D" w:rsidRPr="006276D6" w:rsidP="00C81F6D" w14:paraId="05D045B9" w14:textId="72A31695">
      <w:pPr>
        <w:rPr>
          <w:lang w:eastAsia="en-US"/>
        </w:rPr>
      </w:pPr>
      <w:r w:rsidRPr="009C4C28">
        <w:rPr>
          <w:lang w:eastAsia="en-US"/>
        </w:rPr>
        <w:t xml:space="preserve">Gada pārskata iesniegšanas revidentam datums: </w:t>
      </w:r>
      <w:r w:rsidRPr="006276D6">
        <w:rPr>
          <w:lang w:eastAsia="en-US"/>
        </w:rPr>
        <w:t>20</w:t>
      </w:r>
      <w:r w:rsidRPr="006276D6" w:rsidR="00BC53CA">
        <w:rPr>
          <w:lang w:eastAsia="en-US"/>
        </w:rPr>
        <w:t>2</w:t>
      </w:r>
      <w:r w:rsidRPr="006276D6" w:rsidR="00CD560E">
        <w:rPr>
          <w:lang w:eastAsia="en-US"/>
        </w:rPr>
        <w:t>5</w:t>
      </w:r>
      <w:r w:rsidRPr="006276D6">
        <w:rPr>
          <w:lang w:eastAsia="en-US"/>
        </w:rPr>
        <w:t>.</w:t>
      </w:r>
      <w:r w:rsidRPr="006276D6" w:rsidR="00EF09A5">
        <w:rPr>
          <w:lang w:eastAsia="en-US"/>
        </w:rPr>
        <w:t xml:space="preserve"> </w:t>
      </w:r>
      <w:r w:rsidRPr="006276D6">
        <w:rPr>
          <w:lang w:eastAsia="en-US"/>
        </w:rPr>
        <w:t xml:space="preserve">gada </w:t>
      </w:r>
      <w:r w:rsidRPr="006276D6" w:rsidR="006276D6">
        <w:rPr>
          <w:lang w:eastAsia="en-US"/>
        </w:rPr>
        <w:t>14</w:t>
      </w:r>
      <w:r w:rsidRPr="006276D6" w:rsidR="00F9054E">
        <w:rPr>
          <w:lang w:eastAsia="en-US"/>
        </w:rPr>
        <w:t>.marts</w:t>
      </w:r>
      <w:r w:rsidRPr="006276D6">
        <w:rPr>
          <w:lang w:eastAsia="en-US"/>
        </w:rPr>
        <w:t>;</w:t>
      </w:r>
    </w:p>
    <w:p w:rsidR="00C81F6D" w:rsidRPr="006276D6" w:rsidP="00C81F6D" w14:paraId="220F7691" w14:textId="4175E472">
      <w:pPr>
        <w:rPr>
          <w:lang w:eastAsia="en-US"/>
        </w:rPr>
      </w:pPr>
      <w:r w:rsidRPr="006276D6">
        <w:rPr>
          <w:lang w:eastAsia="en-US"/>
        </w:rPr>
        <w:t>Gada pārskata parakstīšanas datums: 202</w:t>
      </w:r>
      <w:r w:rsidRPr="006276D6" w:rsidR="00B41147">
        <w:rPr>
          <w:lang w:eastAsia="en-US"/>
        </w:rPr>
        <w:t>5</w:t>
      </w:r>
      <w:r w:rsidRPr="006276D6">
        <w:rPr>
          <w:lang w:eastAsia="en-US"/>
        </w:rPr>
        <w:t>.</w:t>
      </w:r>
      <w:r w:rsidRPr="006276D6" w:rsidR="00EF09A5">
        <w:rPr>
          <w:lang w:eastAsia="en-US"/>
        </w:rPr>
        <w:t xml:space="preserve"> </w:t>
      </w:r>
      <w:r w:rsidRPr="006276D6">
        <w:rPr>
          <w:lang w:eastAsia="en-US"/>
        </w:rPr>
        <w:t xml:space="preserve">gada </w:t>
      </w:r>
      <w:r w:rsidRPr="006276D6" w:rsidR="003549C7">
        <w:rPr>
          <w:lang w:eastAsia="en-US"/>
        </w:rPr>
        <w:t>2</w:t>
      </w:r>
      <w:r w:rsidR="00DF4F33">
        <w:rPr>
          <w:lang w:eastAsia="en-US"/>
        </w:rPr>
        <w:t>4</w:t>
      </w:r>
      <w:r w:rsidRPr="006276D6" w:rsidR="00BC53CA">
        <w:rPr>
          <w:lang w:eastAsia="en-US"/>
        </w:rPr>
        <w:t>.marts</w:t>
      </w:r>
      <w:r w:rsidRPr="006276D6">
        <w:rPr>
          <w:lang w:eastAsia="en-US"/>
        </w:rPr>
        <w:t>;</w:t>
      </w:r>
    </w:p>
    <w:p w:rsidR="00C81F6D" w:rsidRPr="00297E95" w:rsidP="00C81F6D" w14:paraId="46446088" w14:textId="2EE804E6">
      <w:pPr>
        <w:rPr>
          <w:lang w:eastAsia="en-US"/>
        </w:rPr>
      </w:pPr>
      <w:r w:rsidRPr="006276D6">
        <w:rPr>
          <w:lang w:eastAsia="en-US"/>
        </w:rPr>
        <w:t>Zvērināta revidenta atzinuma sniegšanas datums: 202</w:t>
      </w:r>
      <w:r w:rsidRPr="006276D6" w:rsidR="00B41147">
        <w:rPr>
          <w:lang w:eastAsia="en-US"/>
        </w:rPr>
        <w:t>5</w:t>
      </w:r>
      <w:r w:rsidRPr="006276D6">
        <w:rPr>
          <w:lang w:eastAsia="en-US"/>
        </w:rPr>
        <w:t>.</w:t>
      </w:r>
      <w:r w:rsidRPr="006276D6" w:rsidR="00EF09A5">
        <w:rPr>
          <w:lang w:eastAsia="en-US"/>
        </w:rPr>
        <w:t xml:space="preserve"> </w:t>
      </w:r>
      <w:r w:rsidRPr="006276D6">
        <w:rPr>
          <w:lang w:eastAsia="en-US"/>
        </w:rPr>
        <w:t xml:space="preserve">gada </w:t>
      </w:r>
      <w:r w:rsidRPr="006276D6" w:rsidR="003549C7">
        <w:rPr>
          <w:lang w:eastAsia="en-US"/>
        </w:rPr>
        <w:t>2</w:t>
      </w:r>
      <w:r w:rsidR="00BE3EDE">
        <w:rPr>
          <w:lang w:eastAsia="en-US"/>
        </w:rPr>
        <w:t>4</w:t>
      </w:r>
      <w:r w:rsidRPr="006276D6" w:rsidR="00BC53CA">
        <w:rPr>
          <w:lang w:eastAsia="en-US"/>
        </w:rPr>
        <w:t>.marts</w:t>
      </w:r>
      <w:r w:rsidRPr="006276D6">
        <w:rPr>
          <w:lang w:eastAsia="en-US"/>
        </w:rPr>
        <w:t>;</w:t>
      </w:r>
    </w:p>
    <w:p w:rsidR="00B41147" w:rsidP="00B41147" w14:paraId="5A211215" w14:textId="77777777">
      <w:pPr>
        <w:jc w:val="both"/>
        <w:rPr>
          <w:lang w:eastAsia="en-US"/>
        </w:rPr>
      </w:pPr>
      <w:r w:rsidRPr="00B41147">
        <w:rPr>
          <w:lang w:eastAsia="en-US"/>
        </w:rPr>
        <w:t>Gada pārskata apstiprināšanas publiskošanai datums ir datums, kurā revidents sniedz attiecīgi atzinumu, vai ziņojumu par gada pārskata sagatavošanas pareizību.</w:t>
      </w:r>
    </w:p>
    <w:p w:rsidR="00B41147" w:rsidRPr="00B41147" w:rsidP="00B41147" w14:paraId="1B87BE9F" w14:textId="626E1293">
      <w:pPr>
        <w:jc w:val="both"/>
        <w:rPr>
          <w:lang w:eastAsia="en-US"/>
        </w:rPr>
      </w:pPr>
      <w:r w:rsidRPr="00B41147">
        <w:rPr>
          <w:lang w:eastAsia="en-US"/>
        </w:rPr>
        <w:t>Gada pārskats sagatavots latviešu valodā.</w:t>
      </w:r>
    </w:p>
    <w:p w:rsidR="00C81F6D" w:rsidRPr="00BD090F" w:rsidP="00C81F6D" w14:paraId="2A3B6784" w14:textId="77777777">
      <w:pPr>
        <w:jc w:val="both"/>
        <w:rPr>
          <w:lang w:eastAsia="en-US"/>
        </w:rPr>
      </w:pPr>
      <w:r>
        <w:rPr>
          <w:lang w:eastAsia="en-US"/>
        </w:rPr>
        <w:t>G</w:t>
      </w:r>
      <w:r w:rsidRPr="00BD090F">
        <w:rPr>
          <w:lang w:eastAsia="en-US"/>
        </w:rPr>
        <w:t xml:space="preserve">ada pārskatu paraksta: </w:t>
      </w:r>
    </w:p>
    <w:p w:rsidR="00C81F6D" w:rsidRPr="00BD090F" w:rsidP="00662F3C" w14:paraId="43FEFFE8" w14:textId="698EFEAE">
      <w:pPr>
        <w:pStyle w:val="ListParagraph"/>
        <w:numPr>
          <w:ilvl w:val="0"/>
          <w:numId w:val="4"/>
        </w:numPr>
        <w:ind w:left="426" w:hanging="426"/>
        <w:jc w:val="both"/>
      </w:pPr>
      <w:r>
        <w:t>pašvaldības</w:t>
      </w:r>
      <w:r w:rsidRPr="00BD090F">
        <w:t xml:space="preserve"> priekšsēdētājs vai </w:t>
      </w:r>
      <w:r>
        <w:t>pašvaldības</w:t>
      </w:r>
      <w:r w:rsidRPr="00BD090F">
        <w:t xml:space="preserve"> priekšsēdētāja pirmais vietnieks;</w:t>
      </w:r>
    </w:p>
    <w:p w:rsidR="00C81F6D" w:rsidP="00662F3C" w14:paraId="28AC2FAA" w14:textId="466DFEF7">
      <w:pPr>
        <w:numPr>
          <w:ilvl w:val="0"/>
          <w:numId w:val="4"/>
        </w:numPr>
        <w:ind w:left="426" w:hanging="426"/>
        <w:jc w:val="both"/>
        <w:rPr>
          <w:lang w:eastAsia="en-US"/>
        </w:rPr>
      </w:pPr>
      <w:r w:rsidRPr="00CA7C1C">
        <w:rPr>
          <w:lang w:eastAsia="en-US"/>
        </w:rPr>
        <w:t xml:space="preserve">grāmatvedības </w:t>
      </w:r>
      <w:r w:rsidRPr="00CA7C1C" w:rsidR="00EF09A5">
        <w:rPr>
          <w:lang w:eastAsia="en-US"/>
        </w:rPr>
        <w:t>no</w:t>
      </w:r>
      <w:r w:rsidRPr="00CA7C1C">
        <w:rPr>
          <w:lang w:eastAsia="en-US"/>
        </w:rPr>
        <w:t>daļas vadītāj</w:t>
      </w:r>
      <w:r w:rsidR="00B41147">
        <w:rPr>
          <w:lang w:eastAsia="en-US"/>
        </w:rPr>
        <w:t>a</w:t>
      </w:r>
      <w:r w:rsidRPr="00CA7C1C" w:rsidR="00CB2273">
        <w:rPr>
          <w:lang w:eastAsia="en-US"/>
        </w:rPr>
        <w:t xml:space="preserve"> vietnieks</w:t>
      </w:r>
      <w:r w:rsidRPr="00CA7C1C" w:rsidR="00BA4531">
        <w:rPr>
          <w:lang w:eastAsia="en-US"/>
        </w:rPr>
        <w:t>-</w:t>
      </w:r>
      <w:r w:rsidRPr="00CA7C1C" w:rsidR="00CB2273">
        <w:rPr>
          <w:lang w:eastAsia="en-US"/>
        </w:rPr>
        <w:t>galvenais grāmatvedis</w:t>
      </w:r>
      <w:r w:rsidRPr="00CA7C1C">
        <w:rPr>
          <w:lang w:eastAsia="en-US"/>
        </w:rPr>
        <w:t>.</w:t>
      </w:r>
    </w:p>
    <w:p w:rsidR="00C81F6D" w:rsidRPr="00BD090F" w:rsidP="00C81F6D" w14:paraId="70AD5210" w14:textId="77777777">
      <w:pPr>
        <w:jc w:val="both"/>
        <w:rPr>
          <w:lang w:eastAsia="en-US"/>
        </w:rPr>
      </w:pPr>
    </w:p>
    <w:p w:rsidR="00C603DF" w:rsidRPr="00801CB6" w:rsidP="00662F3C" w14:paraId="4006A209" w14:textId="63EB4478">
      <w:pPr>
        <w:pStyle w:val="ListParagraph"/>
        <w:numPr>
          <w:ilvl w:val="1"/>
          <w:numId w:val="10"/>
        </w:numPr>
        <w:ind w:left="426" w:hanging="426"/>
        <w:rPr>
          <w:b/>
        </w:rPr>
      </w:pPr>
      <w:r>
        <w:rPr>
          <w:b/>
        </w:rPr>
        <w:t xml:space="preserve"> </w:t>
      </w:r>
      <w:r w:rsidR="00D044B4">
        <w:rPr>
          <w:b/>
        </w:rPr>
        <w:t xml:space="preserve">KONSOLIDĒTĀ </w:t>
      </w:r>
      <w:r w:rsidRPr="00801CB6">
        <w:rPr>
          <w:b/>
        </w:rPr>
        <w:t>GADA PĀRSKATA SAGATAVOŠANĀ IZMANTOTĀ NAUDAS VIENĪBA</w:t>
      </w:r>
    </w:p>
    <w:p w:rsidR="00801CB6" w:rsidP="00801CB6" w14:paraId="6BB6C15E" w14:textId="77777777">
      <w:pPr>
        <w:jc w:val="both"/>
        <w:rPr>
          <w:lang w:eastAsia="en-US"/>
        </w:rPr>
      </w:pPr>
      <w:r>
        <w:rPr>
          <w:lang w:eastAsia="en-US"/>
        </w:rPr>
        <w:t>G</w:t>
      </w:r>
      <w:r w:rsidRPr="00BD090F">
        <w:rPr>
          <w:lang w:eastAsia="en-US"/>
        </w:rPr>
        <w:t xml:space="preserve">ada pārskatā par vērtības mēru lietots </w:t>
      </w:r>
      <w:r w:rsidRPr="00FC7CC9">
        <w:rPr>
          <w:lang w:eastAsia="en-US"/>
        </w:rPr>
        <w:t>euro</w:t>
      </w:r>
      <w:r w:rsidRPr="00BD090F">
        <w:rPr>
          <w:lang w:eastAsia="en-US"/>
        </w:rPr>
        <w:t xml:space="preserve"> un skaitļi noapaļoti līdz veseliem skaitļiem, bez decimāldaļām. </w:t>
      </w:r>
    </w:p>
    <w:p w:rsidR="00634DB7" w:rsidP="00801CB6" w14:paraId="2220A36A" w14:textId="77777777">
      <w:pPr>
        <w:jc w:val="both"/>
        <w:rPr>
          <w:lang w:eastAsia="en-US"/>
        </w:rPr>
      </w:pPr>
    </w:p>
    <w:p w:rsidR="00C603DF" w:rsidRPr="00634DB7" w:rsidP="00662F3C" w14:paraId="76B2D288" w14:textId="2BF6E49D">
      <w:pPr>
        <w:pStyle w:val="ListParagraph"/>
        <w:numPr>
          <w:ilvl w:val="1"/>
          <w:numId w:val="10"/>
        </w:numPr>
        <w:ind w:left="426" w:hanging="426"/>
        <w:jc w:val="both"/>
      </w:pPr>
      <w:r w:rsidRPr="00801CB6">
        <w:rPr>
          <w:b/>
        </w:rPr>
        <w:t>ĀRVALSTU VALŪTU PĀRVĒRTĒŠANA</w:t>
      </w:r>
    </w:p>
    <w:p w:rsidR="006E3732" w:rsidP="00C81F6D" w14:paraId="7611D121" w14:textId="6C5EB230">
      <w:pPr>
        <w:jc w:val="both"/>
        <w:rPr>
          <w:lang w:eastAsia="en-US"/>
        </w:rPr>
      </w:pPr>
      <w:r w:rsidRPr="00BD090F">
        <w:rPr>
          <w:lang w:eastAsia="en-US"/>
        </w:rPr>
        <w:t xml:space="preserve">Ārvalstu valūtā izteiktu monetāro posteņu atlikumu vai citu informāciju pārskata perioda beigās pārrēķina </w:t>
      </w:r>
      <w:r w:rsidRPr="00BD090F">
        <w:rPr>
          <w:lang w:eastAsia="en-US"/>
        </w:rPr>
        <w:t>euro</w:t>
      </w:r>
      <w:r w:rsidRPr="00BD090F">
        <w:rPr>
          <w:lang w:eastAsia="en-US"/>
        </w:rPr>
        <w:t xml:space="preserve"> atbilstoši </w:t>
      </w:r>
      <w:r w:rsidR="007C074C">
        <w:rPr>
          <w:lang w:eastAsia="en-US"/>
        </w:rPr>
        <w:t>Grāmatvedības</w:t>
      </w:r>
      <w:r w:rsidR="00A34EF6">
        <w:rPr>
          <w:lang w:eastAsia="en-US"/>
        </w:rPr>
        <w:t xml:space="preserve"> likuma</w:t>
      </w:r>
      <w:r w:rsidRPr="00BD090F">
        <w:rPr>
          <w:lang w:eastAsia="en-US"/>
        </w:rPr>
        <w:t xml:space="preserve"> noteiktajam grāmatvedībā izmantojamam ārvalstu valūtas kursam, kas ir spēkā bilances datumā (dienas beigās). </w:t>
      </w:r>
    </w:p>
    <w:p w:rsidR="00C81F6D" w:rsidRPr="00BD090F" w:rsidP="00C81F6D" w14:paraId="1CC6B049" w14:textId="2F9B5B7F">
      <w:pPr>
        <w:jc w:val="both"/>
        <w:rPr>
          <w:lang w:eastAsia="en-US"/>
        </w:rPr>
      </w:pPr>
      <w:r w:rsidRPr="00BD090F">
        <w:rPr>
          <w:lang w:eastAsia="en-US"/>
        </w:rPr>
        <w:t xml:space="preserve">Grāmatvedībā izmantojamais ārvalstu valūtas kurss ir Eiropas Centrālās bankas publicētais </w:t>
      </w:r>
      <w:r w:rsidRPr="00BD090F">
        <w:rPr>
          <w:lang w:eastAsia="en-US"/>
        </w:rPr>
        <w:t>euro</w:t>
      </w:r>
      <w:r w:rsidRPr="00BD090F">
        <w:rPr>
          <w:lang w:eastAsia="en-US"/>
        </w:rPr>
        <w:t xml:space="preserve"> atsauces kurss, bet, ja konkrētai ārvalstu valūtai nav Eiropas Centrālās bankas publicētā </w:t>
      </w:r>
      <w:r w:rsidRPr="00BD090F">
        <w:rPr>
          <w:lang w:eastAsia="en-US"/>
        </w:rPr>
        <w:t>euro</w:t>
      </w:r>
      <w:r w:rsidRPr="00BD090F">
        <w:rPr>
          <w:lang w:eastAsia="en-US"/>
        </w:rPr>
        <w:t xml:space="preserve"> atsauces kursa, izmanto pasaules finanšu tirgus atzīta finanšu informācijas sniedzēja periodiskajā izdevumā vai tā tīmekļa vietnē publicēto valūtas tirgus kursu attiecībā pret </w:t>
      </w:r>
      <w:r w:rsidRPr="00BD090F">
        <w:rPr>
          <w:lang w:eastAsia="en-US"/>
        </w:rPr>
        <w:t>euro</w:t>
      </w:r>
      <w:r w:rsidRPr="00BD090F">
        <w:rPr>
          <w:lang w:eastAsia="en-US"/>
        </w:rPr>
        <w:t xml:space="preserve">. </w:t>
      </w:r>
    </w:p>
    <w:p w:rsidR="00C81F6D" w:rsidP="00C81F6D" w14:paraId="0D65B2DE" w14:textId="77777777">
      <w:pPr>
        <w:jc w:val="both"/>
        <w:rPr>
          <w:lang w:eastAsia="en-US"/>
        </w:rPr>
      </w:pPr>
    </w:p>
    <w:p w:rsidR="00685CB3" w:rsidP="00662F3C" w14:paraId="78656C3F" w14:textId="1B35E58F">
      <w:pPr>
        <w:pStyle w:val="ListParagraph"/>
        <w:numPr>
          <w:ilvl w:val="1"/>
          <w:numId w:val="10"/>
        </w:numPr>
        <w:ind w:left="426" w:hanging="437"/>
        <w:jc w:val="both"/>
        <w:rPr>
          <w:b/>
          <w:bCs/>
        </w:rPr>
      </w:pPr>
      <w:r w:rsidRPr="00685CB3">
        <w:rPr>
          <w:b/>
          <w:bCs/>
        </w:rPr>
        <w:t>KONSOLIDĀCIJAS VISPĀRĒJIE PRINCIPI</w:t>
      </w:r>
    </w:p>
    <w:p w:rsidR="00BF63AC" w:rsidRPr="00B62E4F" w:rsidP="00BF63AC" w14:paraId="7AF8E313" w14:textId="77777777">
      <w:pPr>
        <w:rPr>
          <w:iCs/>
        </w:rPr>
      </w:pPr>
      <w:bookmarkStart w:id="0" w:name="_Hlk101339114"/>
      <w:r w:rsidRPr="00B62E4F">
        <w:rPr>
          <w:iCs/>
        </w:rPr>
        <w:t>Pašvaldības konsolidētajā gada pārskatā iekļautas sekojošas pašvaldības budžeta iestāžu pārskati:</w:t>
      </w:r>
    </w:p>
    <w:p w:rsidR="00BF63AC" w:rsidRPr="00B62E4F" w:rsidP="00662F3C" w14:paraId="392C4790" w14:textId="12C5AFC0">
      <w:pPr>
        <w:numPr>
          <w:ilvl w:val="0"/>
          <w:numId w:val="19"/>
        </w:numPr>
        <w:jc w:val="both"/>
        <w:rPr>
          <w:iCs/>
        </w:rPr>
      </w:pPr>
      <w:r>
        <w:rPr>
          <w:iCs/>
        </w:rPr>
        <w:t>Ādažu pašvaldība</w:t>
      </w:r>
      <w:r w:rsidRPr="00B62E4F">
        <w:rPr>
          <w:iCs/>
        </w:rPr>
        <w:t>;</w:t>
      </w:r>
    </w:p>
    <w:p w:rsidR="00BF63AC" w:rsidRPr="00B62E4F" w:rsidP="00662F3C" w14:paraId="72C23C4C" w14:textId="44F41405">
      <w:pPr>
        <w:numPr>
          <w:ilvl w:val="0"/>
          <w:numId w:val="19"/>
        </w:numPr>
        <w:jc w:val="both"/>
        <w:rPr>
          <w:iCs/>
        </w:rPr>
      </w:pPr>
      <w:r w:rsidRPr="00B62E4F">
        <w:rPr>
          <w:iCs/>
        </w:rPr>
        <w:t xml:space="preserve">Pašvaldības aģentūra „Carnikavas </w:t>
      </w:r>
      <w:r w:rsidR="001636D7">
        <w:rPr>
          <w:iCs/>
        </w:rPr>
        <w:t>k</w:t>
      </w:r>
      <w:r w:rsidRPr="00B62E4F">
        <w:rPr>
          <w:iCs/>
        </w:rPr>
        <w:t>omunālserviss”.</w:t>
      </w:r>
    </w:p>
    <w:p w:rsidR="00BF63AC" w:rsidP="00BF63AC" w14:paraId="20901969" w14:textId="2007CC87">
      <w:pPr>
        <w:rPr>
          <w:iCs/>
        </w:rPr>
      </w:pPr>
      <w:r w:rsidRPr="00B62E4F">
        <w:rPr>
          <w:iCs/>
        </w:rPr>
        <w:t>Pašvaldības konsolidētais gada pārskats kā vienots kopums ietver vadības ziņojumu, finanšu pārskatu, budžeta izpildes pārskatu un apliecinājumu Valsts kasei par</w:t>
      </w:r>
      <w:r>
        <w:rPr>
          <w:iCs/>
        </w:rPr>
        <w:t xml:space="preserve"> </w:t>
      </w:r>
      <w:r w:rsidRPr="00B62E4F">
        <w:rPr>
          <w:iCs/>
        </w:rPr>
        <w:t>gada pārskatā sniegtās informācijas patiesumu.</w:t>
      </w:r>
      <w:r>
        <w:rPr>
          <w:iCs/>
        </w:rPr>
        <w:t xml:space="preserve"> </w:t>
      </w:r>
      <w:r w:rsidRPr="00B62E4F">
        <w:rPr>
          <w:iCs/>
        </w:rPr>
        <w:t>Konsolidācijā iesaistītās iestādes ievēro pašvaldības vienoto grāmatvedības uzskaites kārtību un kontu plānu.</w:t>
      </w:r>
    </w:p>
    <w:bookmarkEnd w:id="0"/>
    <w:p w:rsidR="00F74B7E" w:rsidRPr="004C0B33" w:rsidP="00F74B7E" w14:paraId="623FC99B" w14:textId="77777777">
      <w:pPr>
        <w:jc w:val="both"/>
        <w:rPr>
          <w:rFonts w:eastAsiaTheme="minorHAnsi"/>
          <w:iCs/>
          <w:lang w:eastAsia="en-US"/>
        </w:rPr>
      </w:pPr>
      <w:r w:rsidRPr="004C0B33">
        <w:rPr>
          <w:rFonts w:eastAsiaTheme="minorHAnsi"/>
          <w:iCs/>
          <w:lang w:eastAsia="en-US"/>
        </w:rPr>
        <w:t>Konsolidācijā iesaistīto iestāžu slēguma pārskatus apvieno šādā kārtībā:</w:t>
      </w:r>
    </w:p>
    <w:p w:rsidR="00F74B7E" w:rsidRPr="004C0B33" w:rsidP="00662F3C" w14:paraId="44262882" w14:textId="77777777">
      <w:pPr>
        <w:numPr>
          <w:ilvl w:val="0"/>
          <w:numId w:val="20"/>
        </w:numPr>
        <w:jc w:val="both"/>
        <w:rPr>
          <w:rFonts w:eastAsiaTheme="minorHAnsi"/>
          <w:iCs/>
          <w:lang w:eastAsia="en-US"/>
        </w:rPr>
      </w:pPr>
      <w:r w:rsidRPr="004C0B33">
        <w:rPr>
          <w:rFonts w:eastAsiaTheme="minorHAnsi"/>
          <w:iCs/>
          <w:lang w:eastAsia="en-US"/>
        </w:rPr>
        <w:t>apvieno konsolidācijā iesaistīto iestāžu gada pārskatā attiecīgajos posteņos norādītās aktīvu, saistību, pašu kapitāla, ieņēmumu un izdevumu (izmaksu) summas;</w:t>
      </w:r>
    </w:p>
    <w:p w:rsidR="00F74B7E" w:rsidRPr="004C0B33" w:rsidP="00662F3C" w14:paraId="06ECDDF8" w14:textId="77777777">
      <w:pPr>
        <w:numPr>
          <w:ilvl w:val="0"/>
          <w:numId w:val="20"/>
        </w:numPr>
        <w:jc w:val="both"/>
        <w:rPr>
          <w:rFonts w:eastAsiaTheme="minorHAnsi"/>
          <w:iCs/>
          <w:lang w:eastAsia="en-US"/>
        </w:rPr>
      </w:pPr>
      <w:r w:rsidRPr="004C0B33">
        <w:rPr>
          <w:rFonts w:eastAsiaTheme="minorHAnsi"/>
          <w:iCs/>
          <w:lang w:eastAsia="en-US"/>
        </w:rPr>
        <w:t>koriģē iestāžu gada pārskatus, ja tajos iestāde ir piemērojusi atšķirīgas grāmatvedības uzskaites metodes un atšķirīgas novērtēšanas principus.  Par korekciju summu, attiecīgi palielina vai, samazina bilances posteņu vērtību un koriģē attiecīgos posteņus konsolidācijā;</w:t>
      </w:r>
    </w:p>
    <w:p w:rsidR="00F74B7E" w:rsidRPr="004C0B33" w:rsidP="00662F3C" w14:paraId="480C254C" w14:textId="77777777">
      <w:pPr>
        <w:numPr>
          <w:ilvl w:val="0"/>
          <w:numId w:val="20"/>
        </w:numPr>
        <w:jc w:val="both"/>
        <w:rPr>
          <w:rFonts w:eastAsiaTheme="minorHAnsi"/>
          <w:iCs/>
          <w:lang w:eastAsia="en-US"/>
        </w:rPr>
      </w:pPr>
      <w:r w:rsidRPr="004C0B33">
        <w:rPr>
          <w:rFonts w:eastAsiaTheme="minorHAnsi"/>
          <w:iCs/>
          <w:lang w:eastAsia="en-US"/>
        </w:rPr>
        <w:t xml:space="preserve">pilnībā izslēdz konsolidācijā iesaistīto iestāžu savstarpējo darījumu rezultātu (ieņēmumu un izdevumu koriģēšana) un atbilstošo bilances posteņu summas; </w:t>
      </w:r>
    </w:p>
    <w:p w:rsidR="00F74B7E" w:rsidRPr="002D75A6" w:rsidP="00662F3C" w14:paraId="14FFA2EA" w14:textId="77777777">
      <w:pPr>
        <w:numPr>
          <w:ilvl w:val="0"/>
          <w:numId w:val="20"/>
        </w:numPr>
        <w:spacing w:after="120"/>
        <w:ind w:left="709"/>
        <w:jc w:val="both"/>
        <w:rPr>
          <w:rFonts w:eastAsiaTheme="minorHAnsi"/>
          <w:iCs/>
          <w:lang w:eastAsia="en-US"/>
        </w:rPr>
      </w:pPr>
      <w:r w:rsidRPr="004C0B33">
        <w:rPr>
          <w:rFonts w:eastAsiaTheme="minorHAnsi"/>
          <w:iCs/>
          <w:lang w:eastAsia="en-US"/>
        </w:rPr>
        <w:t>koriģē gada pārskatu par iestāžu koriģējošiem notikumiem pēc bilances datuma.</w:t>
      </w:r>
    </w:p>
    <w:p w:rsidR="00F74B7E" w:rsidP="00F74B7E" w14:paraId="2E19975E" w14:textId="77777777">
      <w:pPr>
        <w:jc w:val="both"/>
        <w:rPr>
          <w:iCs/>
          <w:lang w:eastAsia="en-US"/>
        </w:rPr>
      </w:pPr>
      <w:r>
        <w:rPr>
          <w:iCs/>
        </w:rPr>
        <w:t>Konsolidācija aptver visus finanšu pārskata posteņus.</w:t>
      </w:r>
    </w:p>
    <w:p w:rsidR="00F74B7E" w:rsidP="00F74B7E" w14:paraId="26D0B902" w14:textId="77777777">
      <w:pPr>
        <w:jc w:val="both"/>
        <w:rPr>
          <w:iCs/>
        </w:rPr>
      </w:pPr>
      <w:r>
        <w:rPr>
          <w:iCs/>
        </w:rPr>
        <w:t>Konsolidēto budžeta izpildes pārskatu konsolidē pa budžeta veidiem:</w:t>
      </w:r>
    </w:p>
    <w:p w:rsidR="00F74B7E" w:rsidP="00662F3C" w14:paraId="30563C9F" w14:textId="77777777">
      <w:pPr>
        <w:numPr>
          <w:ilvl w:val="0"/>
          <w:numId w:val="21"/>
        </w:numPr>
        <w:ind w:hanging="294"/>
        <w:jc w:val="both"/>
        <w:rPr>
          <w:iCs/>
        </w:rPr>
      </w:pPr>
      <w:r>
        <w:rPr>
          <w:iCs/>
        </w:rPr>
        <w:t>apvienojot attiecīgos ieņēmumu un izdevumu posteņus;</w:t>
      </w:r>
    </w:p>
    <w:p w:rsidR="00F74B7E" w:rsidP="00662F3C" w14:paraId="776070C2" w14:textId="77777777">
      <w:pPr>
        <w:numPr>
          <w:ilvl w:val="0"/>
          <w:numId w:val="21"/>
        </w:numPr>
        <w:ind w:hanging="294"/>
        <w:jc w:val="both"/>
        <w:rPr>
          <w:color w:val="000000"/>
        </w:rPr>
      </w:pPr>
      <w:r>
        <w:rPr>
          <w:iCs/>
        </w:rPr>
        <w:t xml:space="preserve">izslēdzot visus </w:t>
      </w:r>
      <w:r>
        <w:rPr>
          <w:iCs/>
        </w:rPr>
        <w:t>transfertus</w:t>
      </w:r>
      <w:r>
        <w:rPr>
          <w:iCs/>
        </w:rPr>
        <w:t xml:space="preserve"> un savstarpējus maksājumus</w:t>
      </w:r>
      <w:r>
        <w:rPr>
          <w:color w:val="000000"/>
          <w:sz w:val="22"/>
          <w:szCs w:val="22"/>
        </w:rPr>
        <w:t xml:space="preserve">, </w:t>
      </w:r>
      <w:r>
        <w:rPr>
          <w:color w:val="000000"/>
        </w:rPr>
        <w:t>kurus viena iestāde ir pārskaitījusi citai attiecīgā budžeta veida konsolidācijā iesaistītajai iestādei.</w:t>
      </w:r>
    </w:p>
    <w:p w:rsidR="00685CB3" w:rsidRPr="00F74B7E" w:rsidP="00F74B7E" w14:paraId="0E685C1F" w14:textId="5126BEC0">
      <w:pPr>
        <w:widowControl w:val="0"/>
        <w:autoSpaceDE w:val="0"/>
        <w:autoSpaceDN w:val="0"/>
        <w:adjustRightInd w:val="0"/>
        <w:spacing w:after="200"/>
        <w:ind w:right="-59"/>
        <w:jc w:val="both"/>
        <w:rPr>
          <w:color w:val="000000"/>
        </w:rPr>
      </w:pPr>
      <w:r>
        <w:rPr>
          <w:color w:val="000000"/>
        </w:rPr>
        <w:t xml:space="preserve">Iestāde, kas veic konsolidāciju, nodrošina konsolidācijā iesaistīto iestāžu gada pārskata atbilstības pārbaudi atbilstoši </w:t>
      </w:r>
      <w:r w:rsidRPr="002D75A6">
        <w:t>LR MK 20</w:t>
      </w:r>
      <w:r w:rsidR="005D3EA2">
        <w:t>21</w:t>
      </w:r>
      <w:r w:rsidRPr="002D75A6">
        <w:t xml:space="preserve">. gada </w:t>
      </w:r>
      <w:r w:rsidR="005D3EA2">
        <w:t>28</w:t>
      </w:r>
      <w:r w:rsidRPr="002D75A6">
        <w:t xml:space="preserve">. </w:t>
      </w:r>
      <w:r w:rsidR="005D3EA2">
        <w:t>septembra</w:t>
      </w:r>
      <w:r w:rsidRPr="002D75A6">
        <w:t xml:space="preserve"> noteikumi nr.</w:t>
      </w:r>
      <w:r w:rsidR="005D3EA2">
        <w:t>652</w:t>
      </w:r>
      <w:r w:rsidRPr="002D75A6">
        <w:t xml:space="preserve"> „Gada pārskata sagatavošanas kārtība”</w:t>
      </w:r>
      <w:r>
        <w:rPr>
          <w:i/>
          <w:iCs/>
        </w:rPr>
        <w:t xml:space="preserve"> </w:t>
      </w:r>
      <w:r>
        <w:rPr>
          <w:color w:val="000000"/>
        </w:rPr>
        <w:t>prasībām (tai skaitā prasībām attiecībā uz vadības ziņojumu, gada pārskata sagatavošanas principu aprakstu un finanšu instrumentu risku pārvaldīšanas aprakstu).</w:t>
      </w:r>
    </w:p>
    <w:p w:rsidR="00C81F6D" w:rsidRPr="006E3732" w:rsidP="00662F3C" w14:paraId="118BBA08" w14:textId="757EA5E2">
      <w:pPr>
        <w:pStyle w:val="ListParagraph"/>
        <w:numPr>
          <w:ilvl w:val="1"/>
          <w:numId w:val="10"/>
        </w:numPr>
        <w:ind w:left="426" w:hanging="426"/>
        <w:jc w:val="both"/>
        <w:rPr>
          <w:b/>
        </w:rPr>
      </w:pPr>
      <w:r w:rsidRPr="006E3732">
        <w:rPr>
          <w:b/>
        </w:rPr>
        <w:t>GRĀMATVEDĪBAS UZSKAITES</w:t>
      </w:r>
      <w:r w:rsidR="006E3732">
        <w:rPr>
          <w:b/>
        </w:rPr>
        <w:t xml:space="preserve"> </w:t>
      </w:r>
      <w:r w:rsidRPr="006E3732">
        <w:rPr>
          <w:b/>
        </w:rPr>
        <w:t>ORGANIZĒŠANA</w:t>
      </w:r>
    </w:p>
    <w:p w:rsidR="006B6947" w:rsidP="00CD1CB3" w14:paraId="51C23E41" w14:textId="77777777">
      <w:pPr>
        <w:jc w:val="both"/>
        <w:rPr>
          <w:lang w:eastAsia="en-US"/>
        </w:rPr>
      </w:pPr>
      <w:r w:rsidRPr="00BD090F">
        <w:rPr>
          <w:lang w:eastAsia="en-US"/>
        </w:rPr>
        <w:t>Grāmatvedības reģistru sagatavošanai izmantota grāmatvedības programm</w:t>
      </w:r>
      <w:r>
        <w:rPr>
          <w:lang w:eastAsia="en-US"/>
        </w:rPr>
        <w:t>as:</w:t>
      </w:r>
    </w:p>
    <w:p w:rsidR="006B6947" w:rsidP="00662F3C" w14:paraId="7D79464C" w14:textId="77777777">
      <w:pPr>
        <w:pStyle w:val="ListParagraph"/>
        <w:numPr>
          <w:ilvl w:val="0"/>
          <w:numId w:val="22"/>
        </w:numPr>
        <w:ind w:left="426" w:hanging="426"/>
        <w:jc w:val="both"/>
      </w:pPr>
      <w:r>
        <w:t>Ādažu dome -</w:t>
      </w:r>
      <w:r w:rsidRPr="00BD090F">
        <w:t xml:space="preserve"> “GVEDIS”, kuras izmantošanas tiesības apliecina attiecīgs licences līgums (apliecība izdota 02.08.2013. Nr.G-011/2013)</w:t>
      </w:r>
      <w:r>
        <w:t>;</w:t>
      </w:r>
    </w:p>
    <w:p w:rsidR="00CD1CB3" w:rsidRPr="006B6947" w:rsidP="00662F3C" w14:paraId="6029F89D" w14:textId="504B8D51">
      <w:pPr>
        <w:pStyle w:val="ListParagraph"/>
        <w:numPr>
          <w:ilvl w:val="0"/>
          <w:numId w:val="22"/>
        </w:numPr>
        <w:ind w:left="426" w:hanging="426"/>
        <w:jc w:val="both"/>
      </w:pPr>
      <w:r w:rsidRPr="006B6947">
        <w:rPr>
          <w:rFonts w:eastAsiaTheme="minorHAnsi"/>
          <w:iCs/>
        </w:rPr>
        <w:t xml:space="preserve">Pašvaldības aģentūras „Carnikavas komunālserviss” </w:t>
      </w:r>
      <w:r>
        <w:t xml:space="preserve">- </w:t>
      </w:r>
      <w:r w:rsidRPr="006B6947">
        <w:rPr>
          <w:iCs/>
        </w:rPr>
        <w:t>“HORIZON”, kura reģistrēta SIA “</w:t>
      </w:r>
      <w:r w:rsidRPr="006B6947">
        <w:rPr>
          <w:iCs/>
        </w:rPr>
        <w:t>Visma</w:t>
      </w:r>
      <w:r w:rsidRPr="006B6947">
        <w:rPr>
          <w:iCs/>
        </w:rPr>
        <w:t xml:space="preserve"> Enterprise” (apliecība izdota 30.06.2010. Licences Nr.202869).</w:t>
      </w:r>
    </w:p>
    <w:p w:rsidR="00CD1CB3" w:rsidP="00CD1CB3" w14:paraId="45337713" w14:textId="77777777">
      <w:pPr>
        <w:jc w:val="both"/>
      </w:pPr>
      <w:r w:rsidRPr="00AC58A4">
        <w:t xml:space="preserve">Nekustamā īpašuma nodokļa administrēšana, analītiskā uzskaite tiek nodrošināta ar atsevišķu ZZ </w:t>
      </w:r>
      <w:r w:rsidRPr="00AC58A4">
        <w:t>Dats</w:t>
      </w:r>
      <w:r w:rsidRPr="00AC58A4">
        <w:t xml:space="preserve"> SIA izstrādāto analītiskās uzskaites datorprogrammu NINO</w:t>
      </w:r>
      <w:r>
        <w:t>.</w:t>
      </w:r>
    </w:p>
    <w:p w:rsidR="00CD1CB3" w:rsidRPr="00AC58A4" w:rsidP="00CD1CB3" w14:paraId="626BFE26" w14:textId="77777777">
      <w:pPr>
        <w:jc w:val="both"/>
        <w:rPr>
          <w:lang w:eastAsia="en-US"/>
        </w:rPr>
      </w:pPr>
      <w:r w:rsidRPr="00B62E4F">
        <w:rPr>
          <w:iCs/>
        </w:rPr>
        <w:t>Grāmatvedības kārtošanas un organizācijas kārtību pašvaldība organizē atbilstoši savas darbības specifikai un izstrādātajiem grāmatvedības organizācijas dokumentiem.</w:t>
      </w:r>
    </w:p>
    <w:p w:rsidR="00CD1CB3" w:rsidRPr="00BD090F" w:rsidP="00CD1CB3" w14:paraId="6401E75F" w14:textId="77777777">
      <w:pPr>
        <w:jc w:val="both"/>
        <w:rPr>
          <w:lang w:eastAsia="en-US"/>
        </w:rPr>
      </w:pPr>
      <w:r>
        <w:rPr>
          <w:lang w:eastAsia="en-US"/>
        </w:rPr>
        <w:t>Konsolidētā</w:t>
      </w:r>
      <w:r w:rsidRPr="00BD090F">
        <w:rPr>
          <w:lang w:eastAsia="en-US"/>
        </w:rPr>
        <w:t xml:space="preserve"> </w:t>
      </w:r>
      <w:r>
        <w:rPr>
          <w:lang w:eastAsia="en-US"/>
        </w:rPr>
        <w:t>g</w:t>
      </w:r>
      <w:r w:rsidRPr="00BD090F">
        <w:rPr>
          <w:lang w:eastAsia="en-US"/>
        </w:rPr>
        <w:t xml:space="preserve">ada pārskata sagatavošanai, pārbaudei (datu savstarpējās atbilstības pārbaude atbilstoši normatīvajiem aktiem budžeta iestāžu grāmatvedības un budžetu klasifikācijas jomā), parakstīšanai un iesniegšanai iestāde izmanto Valsts kases e-pakalpojumu – </w:t>
      </w:r>
      <w:r w:rsidRPr="00BD090F">
        <w:rPr>
          <w:lang w:eastAsia="en-US"/>
        </w:rPr>
        <w:t>ePārskati</w:t>
      </w:r>
      <w:r w:rsidRPr="00BD090F">
        <w:rPr>
          <w:lang w:eastAsia="en-US"/>
        </w:rPr>
        <w:t xml:space="preserve">. </w:t>
      </w:r>
    </w:p>
    <w:p w:rsidR="00C81F6D" w:rsidRPr="00BD090F" w:rsidP="00CD1CB3" w14:paraId="37FAE989" w14:textId="41E7ECB8">
      <w:pPr>
        <w:jc w:val="both"/>
        <w:rPr>
          <w:lang w:eastAsia="en-US"/>
        </w:rPr>
      </w:pPr>
    </w:p>
    <w:p w:rsidR="00C81F6D" w:rsidRPr="00BD090F" w:rsidP="009C25F4" w14:paraId="2FDDEBC9" w14:textId="723A2E62">
      <w:pPr>
        <w:ind w:left="426" w:hanging="426"/>
        <w:jc w:val="both"/>
        <w:rPr>
          <w:b/>
          <w:lang w:eastAsia="en-US"/>
        </w:rPr>
      </w:pPr>
      <w:r w:rsidRPr="00BD090F">
        <w:rPr>
          <w:b/>
          <w:lang w:eastAsia="en-US"/>
        </w:rPr>
        <w:t>2. GRĀMATVEDĪBAS UZSKAITES VISPĀRĪGIE PRINCIPI, BŪTISKUMA</w:t>
      </w:r>
      <w:r w:rsidR="000434F1">
        <w:rPr>
          <w:b/>
          <w:lang w:eastAsia="en-US"/>
        </w:rPr>
        <w:t xml:space="preserve"> </w:t>
      </w:r>
      <w:r w:rsidRPr="00BD090F">
        <w:rPr>
          <w:b/>
          <w:lang w:eastAsia="en-US"/>
        </w:rPr>
        <w:t>LĪMENIS, KĻŪDU UN APLĒŠU NORĀDĪŠANA, NOTIKUMI PĒC BILANCES DATUMA</w:t>
      </w:r>
    </w:p>
    <w:p w:rsidR="00C81F6D" w:rsidRPr="00BD090F" w:rsidP="00C81F6D" w14:paraId="6FAB5A1B" w14:textId="77777777">
      <w:pPr>
        <w:jc w:val="center"/>
        <w:rPr>
          <w:b/>
          <w:lang w:eastAsia="en-US"/>
        </w:rPr>
      </w:pPr>
    </w:p>
    <w:p w:rsidR="00C81F6D" w:rsidRPr="00C603DF" w:rsidP="00662F3C" w14:paraId="1BACA0B7" w14:textId="25477B24">
      <w:pPr>
        <w:pStyle w:val="ListParagraph"/>
        <w:numPr>
          <w:ilvl w:val="1"/>
          <w:numId w:val="4"/>
        </w:numPr>
        <w:ind w:left="426" w:hanging="426"/>
        <w:rPr>
          <w:b/>
        </w:rPr>
      </w:pPr>
      <w:r w:rsidRPr="00C603DF">
        <w:rPr>
          <w:b/>
        </w:rPr>
        <w:t>GRĀMATVEDĪBAS UZSKAITES VISPĀRĪGIE PRINCIPI</w:t>
      </w:r>
    </w:p>
    <w:p w:rsidR="001871E0" w:rsidP="00C81F6D" w14:paraId="0B356C7E" w14:textId="77777777">
      <w:pPr>
        <w:jc w:val="both"/>
        <w:rPr>
          <w:lang w:eastAsia="en-US"/>
        </w:rPr>
      </w:pPr>
      <w:r w:rsidRPr="00BD090F">
        <w:rPr>
          <w:lang w:eastAsia="en-US"/>
        </w:rPr>
        <w:t>Tiek piemēroti un ievēroti pašvaldības apstiprinātās</w:t>
      </w:r>
      <w:r>
        <w:rPr>
          <w:lang w:eastAsia="en-US"/>
        </w:rPr>
        <w:t xml:space="preserve"> konsolidētā</w:t>
      </w:r>
      <w:r w:rsidRPr="00BD090F">
        <w:rPr>
          <w:lang w:eastAsia="en-US"/>
        </w:rPr>
        <w:t xml:space="preserve"> gada pārskata sagatavošanas kārtības principi. Vienotajā grāmatvedības uzskaites kārtībā noteiktos grāmatvedības uzskaites principus piemēro līdzīgiem darījumiem (piemēram, vienas kategorijas pamatlīdzekļu uzskaite), citiem notikumiem un apstākļiem. </w:t>
      </w:r>
    </w:p>
    <w:p w:rsidR="00C81F6D" w:rsidRPr="00BD090F" w:rsidP="00C81F6D" w14:paraId="489E5D54" w14:textId="7891C4BD">
      <w:pPr>
        <w:jc w:val="both"/>
        <w:rPr>
          <w:lang w:eastAsia="en-US"/>
        </w:rPr>
      </w:pPr>
      <w:r w:rsidRPr="00BD090F">
        <w:rPr>
          <w:lang w:eastAsia="en-US"/>
        </w:rPr>
        <w:t xml:space="preserve">Pieņemot lēmumu, iestādes vadība ņēmusi vērā tiesību aktos noteiktās prasības attiecībā uz līdzīgiem vai saistītiem jautājumiem, kā arī aktīvu, saistību, ieņēmumu un izdevumu definīcijas un atzīšanas un novērtēšanas kritērijus. </w:t>
      </w:r>
    </w:p>
    <w:p w:rsidR="00C81F6D" w:rsidRPr="00BD090F" w:rsidP="00C81F6D" w14:paraId="7E6F38FA" w14:textId="77777777">
      <w:pPr>
        <w:jc w:val="both"/>
        <w:rPr>
          <w:lang w:eastAsia="en-US"/>
        </w:rPr>
      </w:pPr>
    </w:p>
    <w:p w:rsidR="00C603DF" w:rsidRPr="00211F3F" w:rsidP="00662F3C" w14:paraId="4162EE4E" w14:textId="304D195B">
      <w:pPr>
        <w:pStyle w:val="ListParagraph"/>
        <w:numPr>
          <w:ilvl w:val="1"/>
          <w:numId w:val="4"/>
        </w:numPr>
        <w:ind w:left="426" w:hanging="426"/>
        <w:rPr>
          <w:b/>
          <w:bCs/>
        </w:rPr>
      </w:pPr>
      <w:r w:rsidRPr="00956644">
        <w:rPr>
          <w:b/>
          <w:bCs/>
        </w:rPr>
        <w:t>IZMAIŅAS GRĀMATVEDĪBAS UZSKAITES KĀRTĪBĀ, APLĒŠU MAIŅA UN KĻŪDU LABOŠANA</w:t>
      </w:r>
    </w:p>
    <w:p w:rsidR="00211F3F" w:rsidRPr="00211F3F" w:rsidP="00211F3F" w14:paraId="6FD7FF47" w14:textId="77777777">
      <w:pPr>
        <w:pStyle w:val="tv213tvp"/>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Budžeta iestāde maina grāmatvedības uzskaites principus tikai tad, ja ir mainījies normatīvais regulējums.</w:t>
      </w:r>
    </w:p>
    <w:p w:rsidR="00211F3F" w:rsidRPr="00211F3F" w:rsidP="00211F3F" w14:paraId="4C6938E9" w14:textId="77777777">
      <w:pPr>
        <w:pStyle w:val="tv213tvp"/>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Grāmatvedības uzskaites principu maiņa ir vienu grāmatvedības uzskaites principu aizstāšana ar citiem grāmatvedības uzskaites principiem.</w:t>
      </w:r>
    </w:p>
    <w:p w:rsidR="00211F3F" w:rsidRPr="00211F3F" w:rsidP="00211F3F" w14:paraId="7BB90EB2" w14:textId="77777777">
      <w:pPr>
        <w:pStyle w:val="tv213tvp"/>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 xml:space="preserve">Budžeta iestāde izmaiņas grāmatvedības uzskaites principos uzskaita saskaņā ar attiecīgā </w:t>
      </w:r>
      <w:r w:rsidRPr="009841B3">
        <w:rPr>
          <w:rFonts w:ascii="Times New Roman" w:hAnsi="Times New Roman" w:cs="Times New Roman"/>
          <w:color w:val="000000"/>
          <w:szCs w:val="20"/>
          <w:lang w:val="lv-LV"/>
        </w:rPr>
        <w:t>normatīvā akta pārejas noteikumiem.</w:t>
      </w:r>
    </w:p>
    <w:p w:rsidR="00211F3F" w:rsidRPr="00211F3F" w:rsidP="00211F3F" w14:paraId="0575AA85" w14:textId="77777777">
      <w:pPr>
        <w:pStyle w:val="tv213tvp"/>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Mainot grāmatvedības uzskaites principus, korekcijas veic tā, it kā jaunie grāmatvedības uzskaites principi vienmēr būtu piemēroti, un izmaiņas atzīst:</w:t>
      </w:r>
    </w:p>
    <w:p w:rsidR="009841B3" w:rsidP="00662F3C" w14:paraId="64F7C54A" w14:textId="77777777">
      <w:pPr>
        <w:pStyle w:val="tv213limenis2"/>
        <w:numPr>
          <w:ilvl w:val="0"/>
          <w:numId w:val="12"/>
        </w:numPr>
        <w:shd w:val="clear" w:color="auto" w:fill="FFFFFF"/>
        <w:spacing w:before="0" w:beforeAutospacing="0" w:after="0" w:afterAutospacing="0"/>
        <w:ind w:left="426" w:hanging="426"/>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iepriekšējo gadu budžeta izpildes rezultātā tādā apmērā, kas attiecas uz iepriekšējiem pārskata gadiem. Korekcijas analītiski nodala pa attiecīgajiem pārskata gadiem;</w:t>
      </w:r>
    </w:p>
    <w:p w:rsidR="00211F3F" w:rsidRPr="009841B3" w:rsidP="00662F3C" w14:paraId="4A6BC474" w14:textId="04B3134B">
      <w:pPr>
        <w:pStyle w:val="tv213limenis2"/>
        <w:numPr>
          <w:ilvl w:val="0"/>
          <w:numId w:val="12"/>
        </w:numPr>
        <w:shd w:val="clear" w:color="auto" w:fill="FFFFFF"/>
        <w:spacing w:before="0" w:beforeAutospacing="0" w:after="0" w:afterAutospacing="0"/>
        <w:ind w:left="426" w:hanging="426"/>
        <w:jc w:val="both"/>
        <w:rPr>
          <w:rFonts w:ascii="Times New Roman" w:hAnsi="Times New Roman" w:cs="Times New Roman"/>
          <w:color w:val="000000"/>
          <w:szCs w:val="20"/>
          <w:lang w:val="lv-LV"/>
        </w:rPr>
      </w:pPr>
      <w:r w:rsidRPr="009841B3">
        <w:rPr>
          <w:rFonts w:ascii="Times New Roman" w:hAnsi="Times New Roman" w:cs="Times New Roman"/>
          <w:color w:val="000000"/>
          <w:szCs w:val="20"/>
          <w:lang w:val="lv-LV"/>
        </w:rPr>
        <w:t>pārskata perioda ieņēmumos vai izdevumos tādā apmērā, kas attiecas uz pārskata gadu;</w:t>
      </w:r>
    </w:p>
    <w:p w:rsidR="00211F3F" w:rsidRPr="00211F3F" w:rsidP="009841B3" w14:paraId="235C7BD2" w14:textId="77777777">
      <w:pPr>
        <w:pStyle w:val="tv213limenis2"/>
        <w:shd w:val="clear" w:color="auto" w:fill="FFFFFF"/>
        <w:tabs>
          <w:tab w:val="left" w:pos="426"/>
        </w:tabs>
        <w:spacing w:before="0" w:beforeAutospacing="0" w:after="0" w:afterAutospacing="0"/>
        <w:ind w:left="426"/>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atbilstošajā bilances aktīva vai pasīva kontā.</w:t>
      </w:r>
    </w:p>
    <w:p w:rsidR="00211F3F" w:rsidRPr="00211F3F" w:rsidP="00211F3F" w14:paraId="2E06ED6C" w14:textId="23020D4B">
      <w:pPr>
        <w:pStyle w:val="tv213tvp"/>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 xml:space="preserve">Ja darījumu veikšanai vai citām darbībām (piemēram, nemateriālo ieguldījumu lietderīgās lietošanas laika noteikšanai, aktīvu vērtības samazinājuma aprēķināšanai, saistību izpildei paredzēto uzkrājumu aprēķināšanai) </w:t>
      </w:r>
      <w:r w:rsidRPr="00A73812">
        <w:rPr>
          <w:rFonts w:ascii="Times New Roman" w:hAnsi="Times New Roman" w:cs="Times New Roman"/>
          <w:b/>
          <w:bCs/>
          <w:color w:val="000000"/>
          <w:szCs w:val="20"/>
          <w:lang w:val="lv-LV"/>
        </w:rPr>
        <w:t>piemītošo nenoteiktību rezultātā aktīvu vai pasīvu posteņus nevar novērtēt precīzi,</w:t>
      </w:r>
      <w:r w:rsidR="00A73812">
        <w:rPr>
          <w:rFonts w:ascii="Times New Roman" w:hAnsi="Times New Roman" w:cs="Times New Roman"/>
          <w:b/>
          <w:bCs/>
          <w:color w:val="000000"/>
          <w:szCs w:val="20"/>
          <w:lang w:val="lv-LV"/>
        </w:rPr>
        <w:t xml:space="preserve"> </w:t>
      </w:r>
      <w:r w:rsidRPr="00A73812">
        <w:rPr>
          <w:rFonts w:ascii="Times New Roman" w:hAnsi="Times New Roman" w:cs="Times New Roman"/>
          <w:b/>
          <w:bCs/>
          <w:color w:val="000000"/>
          <w:szCs w:val="20"/>
          <w:lang w:val="lv-LV"/>
        </w:rPr>
        <w:t>veic vērtības</w:t>
      </w:r>
      <w:r w:rsidRPr="00211F3F">
        <w:rPr>
          <w:rFonts w:ascii="Times New Roman" w:hAnsi="Times New Roman" w:cs="Times New Roman"/>
          <w:b/>
          <w:bCs/>
          <w:color w:val="000000"/>
          <w:szCs w:val="20"/>
          <w:lang w:val="lv-LV"/>
        </w:rPr>
        <w:t xml:space="preserve"> aplēsi.</w:t>
      </w:r>
      <w:r w:rsidRPr="00211F3F">
        <w:rPr>
          <w:rFonts w:ascii="Times New Roman" w:hAnsi="Times New Roman" w:cs="Times New Roman"/>
          <w:color w:val="000000"/>
          <w:szCs w:val="20"/>
          <w:lang w:val="lv-LV"/>
        </w:rPr>
        <w:t xml:space="preserve"> Aplēsi pārskata, ja mainās apstākļi, uz kuriem tā balstīta, vai iegūta jauna informācija, kas ietekmē aplēses sagatavošanu.</w:t>
      </w:r>
    </w:p>
    <w:p w:rsidR="00211F3F" w:rsidRPr="00211F3F" w:rsidP="00211F3F" w14:paraId="5ACF22AC" w14:textId="77777777">
      <w:pPr>
        <w:pStyle w:val="tv213tvp"/>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Mainot aplēses, tās piemēro darījumiem, citiem notikumiem un apstākļiem, sākot ar aplēses izmaiņas datumu, un koriģē atbilstošo aktīvu, pasīvu, ieņēmumu vai izdevumu posteni pārskata periodā.</w:t>
      </w:r>
    </w:p>
    <w:p w:rsidR="00211F3F" w:rsidRPr="00211F3F" w:rsidP="00211F3F" w14:paraId="5772038A" w14:textId="77777777">
      <w:pPr>
        <w:pStyle w:val="tv213tvp"/>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Konstatētās kļūdas attiecībā uz aktīvu un pasīvu posteņu uzskaiti pārskata periodā vai iepriekšējos pārskata periodos labo pirmajā pārskata periodā, kurā tās atklātas, šādā kārtībā:</w:t>
      </w:r>
    </w:p>
    <w:p w:rsidR="00A73812" w:rsidP="00662F3C" w14:paraId="6961CB30" w14:textId="77777777">
      <w:pPr>
        <w:pStyle w:val="tv213limenis2"/>
        <w:numPr>
          <w:ilvl w:val="0"/>
          <w:numId w:val="13"/>
        </w:numPr>
        <w:shd w:val="clear" w:color="auto" w:fill="FFFFFF"/>
        <w:spacing w:before="0" w:beforeAutospacing="0" w:after="0" w:afterAutospacing="0"/>
        <w:ind w:left="426" w:hanging="426"/>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būtiskas iepriekšējo periodu kļūdas labo iepriekšējo gadu budžeta izpildes rezultātā tādā apmērā, kas attiecas uz iepriekšējiem pārskata gadiem. Korekcijas analītiski nodala pa attiecīgajiem pārskata gadiem;</w:t>
      </w:r>
    </w:p>
    <w:p w:rsidR="00211F3F" w:rsidRPr="00A73812" w:rsidP="00662F3C" w14:paraId="02E33F99" w14:textId="0BA58EBE">
      <w:pPr>
        <w:pStyle w:val="tv213limenis2"/>
        <w:numPr>
          <w:ilvl w:val="0"/>
          <w:numId w:val="13"/>
        </w:numPr>
        <w:shd w:val="clear" w:color="auto" w:fill="FFFFFF"/>
        <w:spacing w:before="0" w:beforeAutospacing="0" w:after="0" w:afterAutospacing="0"/>
        <w:ind w:left="426" w:hanging="426"/>
        <w:jc w:val="both"/>
        <w:rPr>
          <w:rFonts w:ascii="Times New Roman" w:hAnsi="Times New Roman" w:cs="Times New Roman"/>
          <w:color w:val="000000"/>
          <w:szCs w:val="20"/>
          <w:lang w:val="lv-LV"/>
        </w:rPr>
      </w:pPr>
      <w:r w:rsidRPr="00A73812">
        <w:rPr>
          <w:rFonts w:ascii="Times New Roman" w:hAnsi="Times New Roman" w:cs="Times New Roman"/>
          <w:color w:val="000000"/>
          <w:szCs w:val="20"/>
          <w:lang w:val="lv-LV"/>
        </w:rPr>
        <w:t>pārskata perioda ieņēmumos vai izdevumos tādā apmērā, kas attiecas uz pārskata gadu, atbilstošajā bilances aktīva vai pasīva kontā.</w:t>
      </w:r>
    </w:p>
    <w:p w:rsidR="00211F3F" w:rsidRPr="00211F3F" w:rsidP="00211F3F" w14:paraId="630B8029" w14:textId="77777777">
      <w:pPr>
        <w:pStyle w:val="tv213limenis2"/>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Būtiskuma līmeni nosaka saskaņā ar Valsts kases tīmekļvietnē publicēto informāciju kārtējam gadam;</w:t>
      </w:r>
    </w:p>
    <w:p w:rsidR="00211F3F" w:rsidRPr="00211F3F" w:rsidP="00211F3F" w14:paraId="4B408BD9" w14:textId="77777777">
      <w:pPr>
        <w:pStyle w:val="tv213tvp"/>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Būtisko kļūdu labojumus iepriekšējos gadu budžeta izpildes rezultātā noteikto kārtību nepiemēro, ja:</w:t>
      </w:r>
    </w:p>
    <w:p w:rsidR="00211F3F" w:rsidRPr="00211F3F" w:rsidP="00211F3F" w14:paraId="0641E458" w14:textId="77777777">
      <w:pPr>
        <w:pStyle w:val="tv213limenis2"/>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1. ietekme nav nosakāma;</w:t>
      </w:r>
    </w:p>
    <w:p w:rsidR="00211F3F" w:rsidRPr="00211F3F" w:rsidP="00211F3F" w14:paraId="28E1B5A6" w14:textId="77777777">
      <w:pPr>
        <w:pStyle w:val="tv213limenis2"/>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2. ir nepieciešami pieņēmumi par to, kādi būtu budžeta iestādes nodomi attiecīgajā periodā;</w:t>
      </w:r>
    </w:p>
    <w:p w:rsidR="00211F3F" w:rsidRPr="00211F3F" w:rsidP="00211F3F" w14:paraId="76026530" w14:textId="77777777">
      <w:pPr>
        <w:pStyle w:val="tv213limenis2"/>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3. ir nepieciešams izmantot būtiskas aplēses un ir neiespējami objektīvi nošķirt informāciju par aplēsēm, kas:</w:t>
      </w:r>
    </w:p>
    <w:p w:rsidR="00211F3F" w:rsidRPr="00211F3F" w:rsidP="00211F3F" w14:paraId="54F0D201" w14:textId="77777777">
      <w:pPr>
        <w:pStyle w:val="tv213limenis3"/>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3.1. nodrošina pierādījumus par apstākļiem, kas pastāvēja datumā, kurā šīs summas bija atzītas, novērtētas vai uzrādītas;</w:t>
      </w:r>
    </w:p>
    <w:p w:rsidR="00211F3F" w:rsidRPr="00211F3F" w:rsidP="00211F3F" w14:paraId="35B55C09" w14:textId="77777777">
      <w:pPr>
        <w:pStyle w:val="tv213limenis3"/>
        <w:shd w:val="clear" w:color="auto" w:fill="FFFFFF"/>
        <w:spacing w:before="0" w:beforeAutospacing="0" w:after="0" w:afterAutospacing="0"/>
        <w:jc w:val="both"/>
        <w:rPr>
          <w:rFonts w:ascii="Times New Roman" w:hAnsi="Times New Roman" w:cs="Times New Roman"/>
          <w:color w:val="000000"/>
          <w:szCs w:val="20"/>
          <w:lang w:val="lv-LV"/>
        </w:rPr>
      </w:pPr>
      <w:r w:rsidRPr="00211F3F">
        <w:rPr>
          <w:rFonts w:ascii="Times New Roman" w:hAnsi="Times New Roman" w:cs="Times New Roman"/>
          <w:color w:val="000000"/>
          <w:szCs w:val="20"/>
          <w:lang w:val="lv-LV"/>
        </w:rPr>
        <w:t>3.2. būtu pieejama laikā, kad finanšu pārskats par attiecīgo iepriekšējo periodu apstiprināts publiskošanai.</w:t>
      </w:r>
    </w:p>
    <w:p w:rsidR="00211F3F" w:rsidRPr="00211F3F" w:rsidP="00211F3F" w14:paraId="09989FC9" w14:textId="4592DD3A">
      <w:pPr>
        <w:pStyle w:val="BodyText"/>
        <w:spacing w:after="0"/>
        <w:jc w:val="both"/>
        <w:rPr>
          <w:szCs w:val="20"/>
        </w:rPr>
      </w:pPr>
      <w:r w:rsidRPr="00211F3F">
        <w:t xml:space="preserve">Būtiskums (kļūdu labojumiem, finanšu pārskata skaidrojumiem, koriģējošiem un nekoriģējošiem darījumiem), nosakāms saskaņā ar Ministru kabineta noteikumiem </w:t>
      </w:r>
      <w:r w:rsidR="00A73812">
        <w:t>Nr.87</w:t>
      </w:r>
      <w:r w:rsidR="00C0249C">
        <w:t xml:space="preserve">, </w:t>
      </w:r>
      <w:r w:rsidRPr="00211F3F">
        <w:t>Nr.652 un Valsts kases noteikto būtiskuma līmeni izmanto:</w:t>
      </w:r>
    </w:p>
    <w:p w:rsidR="00C0249C" w:rsidP="00662F3C" w14:paraId="0A906187" w14:textId="77777777">
      <w:pPr>
        <w:pStyle w:val="ListParagraph"/>
        <w:numPr>
          <w:ilvl w:val="0"/>
          <w:numId w:val="14"/>
        </w:numPr>
        <w:ind w:left="426" w:hanging="426"/>
        <w:jc w:val="both"/>
      </w:pPr>
      <w:r w:rsidRPr="00211F3F">
        <w:t xml:space="preserve">iepriekšējo pārskata periodu kļūdu labojumiem, izvērtējot kļūdas būtiskumu </w:t>
      </w:r>
      <w:r w:rsidRPr="00FD3E91">
        <w:rPr>
          <w:rStyle w:val="Emphasis"/>
          <w:i w:val="0"/>
          <w:iCs w:val="0"/>
        </w:rPr>
        <w:t>euro</w:t>
      </w:r>
      <w:r w:rsidRPr="00FD3E91">
        <w:rPr>
          <w:i/>
          <w:iCs/>
        </w:rPr>
        <w:t xml:space="preserve"> </w:t>
      </w:r>
      <w:r w:rsidRPr="00211F3F">
        <w:t>sākot ar 2019.gadu;</w:t>
      </w:r>
    </w:p>
    <w:p w:rsidR="00C0249C" w:rsidP="00662F3C" w14:paraId="7E6797A6" w14:textId="77777777">
      <w:pPr>
        <w:pStyle w:val="ListParagraph"/>
        <w:numPr>
          <w:ilvl w:val="0"/>
          <w:numId w:val="14"/>
        </w:numPr>
        <w:ind w:left="426" w:hanging="426"/>
        <w:jc w:val="both"/>
      </w:pPr>
      <w:r w:rsidRPr="00211F3F">
        <w:t>gada pārskatā iekļaujamu koriģējošu un nekoriģējošu notikumu pēc bilances datuma izvērtēšanai sākot ar 2019.gada pārskatu;</w:t>
      </w:r>
    </w:p>
    <w:p w:rsidR="00211F3F" w:rsidRPr="00211F3F" w:rsidP="00662F3C" w14:paraId="543908F9" w14:textId="67A6A07C">
      <w:pPr>
        <w:pStyle w:val="ListParagraph"/>
        <w:numPr>
          <w:ilvl w:val="0"/>
          <w:numId w:val="14"/>
        </w:numPr>
        <w:ind w:left="426" w:hanging="426"/>
        <w:jc w:val="both"/>
      </w:pPr>
      <w:r w:rsidRPr="00211F3F">
        <w:t>gada pārskata  posteņu izmaiņu skaidrojumiem, nosakot izmaiņu būtiskumu, ja izmaiņas ir lielākas par 10%, sākot ar 2019.gada pārskatu.</w:t>
      </w:r>
    </w:p>
    <w:p w:rsidR="00211F3F" w:rsidRPr="00211F3F" w:rsidP="00211F3F" w14:paraId="2B1A0AE1" w14:textId="77777777">
      <w:pPr>
        <w:pStyle w:val="NormalWeb"/>
        <w:spacing w:before="0" w:beforeAutospacing="0" w:after="0" w:afterAutospacing="0"/>
        <w:jc w:val="both"/>
      </w:pPr>
      <w:r w:rsidRPr="00211F3F">
        <w:t>Būtiskuma līmeni aktualizē katru gadu.</w:t>
      </w:r>
    </w:p>
    <w:p w:rsidR="00211F3F" w:rsidRPr="00211F3F" w:rsidP="00211F3F" w14:paraId="21202C16" w14:textId="77777777">
      <w:pPr>
        <w:pStyle w:val="NormalWeb"/>
        <w:spacing w:before="0" w:beforeAutospacing="0" w:after="0" w:afterAutospacing="0"/>
        <w:jc w:val="both"/>
      </w:pPr>
      <w:r w:rsidRPr="00211F3F">
        <w:t>Kļūdu labojumiem līdz pārskata gada 30.aprīlim piemēro iepriekšējā gadā noteikto būtiskuma līmeni.</w:t>
      </w:r>
    </w:p>
    <w:p w:rsidR="00211F3F" w:rsidRPr="00211F3F" w:rsidP="00211F3F" w14:paraId="6A48135E" w14:textId="77777777">
      <w:pPr>
        <w:pStyle w:val="NormalWeb"/>
        <w:spacing w:before="0" w:beforeAutospacing="0" w:after="0" w:afterAutospacing="0"/>
        <w:jc w:val="both"/>
      </w:pPr>
      <w:r w:rsidRPr="00211F3F">
        <w:t>2024.gadā būtiskuma līmeni kļūdu labojumiem Valsts kase publicē janvārī (kļūdu labojumiem no 2025.gada janvāra līdz aprīlim) un maijā (kļūdu labojumiem no 2024.gada maija līdz 2025.gada aprīlim).</w:t>
      </w:r>
    </w:p>
    <w:p w:rsidR="00717BD6" w:rsidP="00717BD6" w14:paraId="27416408" w14:textId="77777777">
      <w:pPr>
        <w:pStyle w:val="NormalWeb"/>
        <w:spacing w:before="0" w:beforeAutospacing="0" w:after="0" w:afterAutospacing="0"/>
        <w:jc w:val="both"/>
        <w:rPr>
          <w:b/>
          <w:bCs/>
        </w:rPr>
      </w:pPr>
      <w:r w:rsidRPr="00211F3F">
        <w:rPr>
          <w:b/>
          <w:bCs/>
        </w:rPr>
        <w:t>Kļūdu labojumiem</w:t>
      </w:r>
    </w:p>
    <w:p w:rsidR="00717BD6" w:rsidP="00717BD6" w14:paraId="5654CCA1" w14:textId="77777777">
      <w:pPr>
        <w:pStyle w:val="NormalWeb"/>
        <w:spacing w:before="0" w:beforeAutospacing="0" w:after="0" w:afterAutospacing="0"/>
        <w:jc w:val="both"/>
        <w:rPr>
          <w:b/>
          <w:bCs/>
        </w:rPr>
      </w:pPr>
      <w:r w:rsidRPr="00717BD6">
        <w:t>Saskaņā ar Ministru kabineta noteikumiem </w:t>
      </w:r>
      <w:r>
        <w:t>Nr.87</w:t>
      </w:r>
      <w:r w:rsidRPr="00717BD6">
        <w:t xml:space="preserve"> un </w:t>
      </w:r>
      <w:r w:rsidRPr="00152547">
        <w:t>Nr.652</w:t>
      </w:r>
      <w:r w:rsidRPr="00717BD6">
        <w:t> Valsts kases noteikto būtiskuma līmeni izmanto:</w:t>
      </w:r>
    </w:p>
    <w:p w:rsidR="00717BD6" w:rsidP="00662F3C" w14:paraId="2615F0E6" w14:textId="77777777">
      <w:pPr>
        <w:pStyle w:val="NormalWeb"/>
        <w:numPr>
          <w:ilvl w:val="0"/>
          <w:numId w:val="15"/>
        </w:numPr>
        <w:spacing w:before="0" w:beforeAutospacing="0" w:after="0" w:afterAutospacing="0"/>
        <w:ind w:left="426" w:hanging="426"/>
        <w:jc w:val="both"/>
        <w:rPr>
          <w:b/>
          <w:bCs/>
        </w:rPr>
      </w:pPr>
      <w:r w:rsidRPr="00717BD6">
        <w:t>iepriekšējo pārskata periodu kļūdu labojumiem, izvērtējot kļūdas būtiskumu </w:t>
      </w:r>
      <w:r w:rsidRPr="00717BD6">
        <w:t>euro</w:t>
      </w:r>
      <w:r w:rsidRPr="00717BD6">
        <w:t>;</w:t>
      </w:r>
    </w:p>
    <w:p w:rsidR="00717BD6" w:rsidP="00662F3C" w14:paraId="3DB5FFCC" w14:textId="77777777">
      <w:pPr>
        <w:pStyle w:val="NormalWeb"/>
        <w:numPr>
          <w:ilvl w:val="0"/>
          <w:numId w:val="15"/>
        </w:numPr>
        <w:spacing w:before="0" w:beforeAutospacing="0" w:after="0" w:afterAutospacing="0"/>
        <w:ind w:left="426" w:hanging="426"/>
        <w:jc w:val="both"/>
        <w:rPr>
          <w:b/>
          <w:bCs/>
        </w:rPr>
      </w:pPr>
      <w:r w:rsidRPr="00717BD6">
        <w:t>konsolidētajā gada pārskatā iekļaujamu koriģējošu un nekoriģējošu notikumu pēc bilances datuma izvērtēšanai;</w:t>
      </w:r>
    </w:p>
    <w:p w:rsidR="00717BD6" w:rsidRPr="006816EE" w:rsidP="00662F3C" w14:paraId="0ED5B803" w14:textId="32212C87">
      <w:pPr>
        <w:pStyle w:val="NormalWeb"/>
        <w:numPr>
          <w:ilvl w:val="0"/>
          <w:numId w:val="15"/>
        </w:numPr>
        <w:spacing w:before="0" w:beforeAutospacing="0" w:after="0" w:afterAutospacing="0"/>
        <w:ind w:left="426" w:hanging="426"/>
        <w:jc w:val="both"/>
        <w:rPr>
          <w:b/>
          <w:bCs/>
        </w:rPr>
      </w:pPr>
      <w:r w:rsidRPr="00717BD6">
        <w:t>gada pārskata un konsolidētā gada pārskata posteņu izmaiņu skaidrojumiem.</w:t>
      </w:r>
    </w:p>
    <w:p w:rsidR="007C7F2F" w:rsidRPr="00717BD6" w:rsidP="001C478F" w14:paraId="191B6507" w14:textId="77777777">
      <w:pPr>
        <w:pStyle w:val="NormalWeb"/>
        <w:spacing w:before="0" w:beforeAutospacing="0" w:after="0" w:afterAutospacing="0"/>
        <w:jc w:val="both"/>
        <w:rPr>
          <w:b/>
          <w:bCs/>
        </w:rPr>
      </w:pPr>
    </w:p>
    <w:p w:rsidR="00F14F3E" w:rsidRPr="006954FB" w:rsidP="00F14F3E" w14:paraId="18261E41" w14:textId="77777777">
      <w:pPr>
        <w:tabs>
          <w:tab w:val="num" w:pos="426"/>
        </w:tabs>
        <w:ind w:right="-179"/>
        <w:jc w:val="both"/>
      </w:pPr>
      <w:r w:rsidRPr="006954FB">
        <w:rPr>
          <w:b/>
          <w:bCs/>
        </w:rPr>
        <w:t>Būtiskuma līmeni piemēro tajā periodā, kurā atklāj kļūdu.</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006"/>
        <w:gridCol w:w="1247"/>
        <w:gridCol w:w="1701"/>
        <w:gridCol w:w="2013"/>
      </w:tblGrid>
      <w:tr w14:paraId="48CB2E6E" w14:textId="77777777" w:rsidTr="004528FC">
        <w:tblPrEx>
          <w:tblW w:w="9101" w:type="dxa"/>
          <w:tblInd w:w="108" w:type="dxa"/>
          <w:tblLayout w:type="fixed"/>
          <w:tblLook w:val="0000"/>
        </w:tblPrEx>
        <w:trPr>
          <w:trHeight w:val="489"/>
        </w:trPr>
        <w:tc>
          <w:tcPr>
            <w:tcW w:w="1134" w:type="dxa"/>
          </w:tcPr>
          <w:p w:rsidR="00F14F3E" w:rsidRPr="002D0269" w:rsidP="004528FC" w14:paraId="1AB613FC" w14:textId="77777777">
            <w:pPr>
              <w:spacing w:after="120"/>
              <w:jc w:val="both"/>
              <w:rPr>
                <w:rFonts w:eastAsiaTheme="minorHAnsi"/>
                <w:sz w:val="18"/>
                <w:szCs w:val="18"/>
                <w:highlight w:val="yellow"/>
              </w:rPr>
            </w:pPr>
            <w:bookmarkStart w:id="1" w:name="_Hlk193356300"/>
            <w:bookmarkStart w:id="2" w:name="_Hlk101341841"/>
          </w:p>
        </w:tc>
        <w:tc>
          <w:tcPr>
            <w:tcW w:w="3006" w:type="dxa"/>
          </w:tcPr>
          <w:p w:rsidR="00F14F3E" w:rsidRPr="002D0269" w:rsidP="004528FC" w14:paraId="56295C86" w14:textId="77777777">
            <w:pPr>
              <w:spacing w:after="120"/>
              <w:jc w:val="both"/>
              <w:rPr>
                <w:rFonts w:eastAsiaTheme="minorHAnsi"/>
                <w:sz w:val="18"/>
                <w:szCs w:val="18"/>
              </w:rPr>
            </w:pPr>
            <w:r w:rsidRPr="002D0269">
              <w:rPr>
                <w:rFonts w:eastAsiaTheme="minorHAnsi"/>
                <w:sz w:val="18"/>
                <w:szCs w:val="18"/>
                <w:lang w:eastAsia="en-US"/>
              </w:rPr>
              <w:t>Iestāde</w:t>
            </w:r>
          </w:p>
        </w:tc>
        <w:tc>
          <w:tcPr>
            <w:tcW w:w="1247" w:type="dxa"/>
          </w:tcPr>
          <w:p w:rsidR="00F14F3E" w:rsidRPr="002D0269" w:rsidP="004528FC" w14:paraId="0BCF6071" w14:textId="77777777">
            <w:pPr>
              <w:spacing w:after="120"/>
              <w:jc w:val="both"/>
              <w:rPr>
                <w:rFonts w:eastAsiaTheme="minorHAnsi"/>
                <w:sz w:val="18"/>
                <w:szCs w:val="18"/>
              </w:rPr>
            </w:pPr>
            <w:r w:rsidRPr="002D0269">
              <w:rPr>
                <w:rFonts w:eastAsiaTheme="minorHAnsi"/>
                <w:sz w:val="18"/>
                <w:szCs w:val="18"/>
                <w:lang w:eastAsia="en-US"/>
              </w:rPr>
              <w:t>periods</w:t>
            </w:r>
          </w:p>
        </w:tc>
        <w:tc>
          <w:tcPr>
            <w:tcW w:w="1701" w:type="dxa"/>
          </w:tcPr>
          <w:p w:rsidR="00F14F3E" w:rsidRPr="002D0269" w:rsidP="004528FC" w14:paraId="2DB387C6" w14:textId="77777777">
            <w:pPr>
              <w:spacing w:after="120"/>
              <w:jc w:val="both"/>
              <w:rPr>
                <w:rFonts w:eastAsiaTheme="minorHAnsi"/>
                <w:sz w:val="18"/>
                <w:szCs w:val="18"/>
              </w:rPr>
            </w:pPr>
            <w:r w:rsidRPr="002D0269">
              <w:rPr>
                <w:rFonts w:eastAsiaTheme="minorHAnsi"/>
                <w:sz w:val="18"/>
                <w:szCs w:val="18"/>
                <w:lang w:eastAsia="en-US"/>
              </w:rPr>
              <w:t>Reģ.nr.</w:t>
            </w:r>
          </w:p>
        </w:tc>
        <w:tc>
          <w:tcPr>
            <w:tcW w:w="2013" w:type="dxa"/>
          </w:tcPr>
          <w:p w:rsidR="00F14F3E" w:rsidRPr="002D0269" w:rsidP="004528FC" w14:paraId="6C1DA837" w14:textId="04992118">
            <w:pPr>
              <w:autoSpaceDE w:val="0"/>
              <w:autoSpaceDN w:val="0"/>
              <w:adjustRightInd w:val="0"/>
              <w:rPr>
                <w:color w:val="000000"/>
                <w:sz w:val="18"/>
                <w:szCs w:val="18"/>
              </w:rPr>
            </w:pPr>
            <w:r w:rsidRPr="002D0269">
              <w:rPr>
                <w:color w:val="000000"/>
                <w:sz w:val="18"/>
                <w:szCs w:val="18"/>
              </w:rPr>
              <w:t>Būtiskuma līmenis, &gt; =EUR</w:t>
            </w:r>
          </w:p>
        </w:tc>
      </w:tr>
      <w:tr w14:paraId="0338A7C4" w14:textId="77777777" w:rsidTr="004528FC">
        <w:tblPrEx>
          <w:tblW w:w="9101" w:type="dxa"/>
          <w:tblInd w:w="108" w:type="dxa"/>
          <w:tblLayout w:type="fixed"/>
          <w:tblLook w:val="0000"/>
        </w:tblPrEx>
        <w:tc>
          <w:tcPr>
            <w:tcW w:w="1134" w:type="dxa"/>
          </w:tcPr>
          <w:p w:rsidR="00F14F3E" w:rsidRPr="002D0269" w:rsidP="004528FC" w14:paraId="35C113E5" w14:textId="4721CFBD">
            <w:pPr>
              <w:jc w:val="both"/>
              <w:rPr>
                <w:rFonts w:eastAsiaTheme="minorHAnsi"/>
                <w:sz w:val="18"/>
                <w:szCs w:val="18"/>
              </w:rPr>
            </w:pPr>
            <w:bookmarkStart w:id="3" w:name="_Hlk101341886"/>
            <w:bookmarkEnd w:id="1"/>
            <w:r w:rsidRPr="002D0269">
              <w:rPr>
                <w:rFonts w:eastAsiaTheme="minorHAnsi"/>
                <w:sz w:val="18"/>
                <w:szCs w:val="18"/>
                <w:lang w:eastAsia="en-US"/>
              </w:rPr>
              <w:t>2024/2025</w:t>
            </w:r>
          </w:p>
        </w:tc>
        <w:tc>
          <w:tcPr>
            <w:tcW w:w="3006" w:type="dxa"/>
          </w:tcPr>
          <w:p w:rsidR="00F14F3E" w:rsidRPr="002D0269" w:rsidP="004528FC" w14:paraId="4B24FB2D" w14:textId="77777777">
            <w:pPr>
              <w:jc w:val="both"/>
              <w:rPr>
                <w:rFonts w:eastAsiaTheme="minorHAnsi"/>
                <w:sz w:val="18"/>
                <w:szCs w:val="18"/>
              </w:rPr>
            </w:pPr>
            <w:r w:rsidRPr="002D0269">
              <w:rPr>
                <w:sz w:val="18"/>
                <w:szCs w:val="18"/>
              </w:rPr>
              <w:t>Ādažu novads</w:t>
            </w:r>
          </w:p>
        </w:tc>
        <w:tc>
          <w:tcPr>
            <w:tcW w:w="1247" w:type="dxa"/>
          </w:tcPr>
          <w:p w:rsidR="00F14F3E" w:rsidRPr="002D0269" w:rsidP="004528FC" w14:paraId="64C4D605" w14:textId="62F582B6">
            <w:pPr>
              <w:autoSpaceDE w:val="0"/>
              <w:autoSpaceDN w:val="0"/>
              <w:adjustRightInd w:val="0"/>
              <w:rPr>
                <w:color w:val="000000"/>
                <w:sz w:val="18"/>
                <w:szCs w:val="18"/>
              </w:rPr>
            </w:pPr>
            <w:r w:rsidRPr="002D0269">
              <w:rPr>
                <w:color w:val="000000"/>
                <w:sz w:val="18"/>
                <w:szCs w:val="18"/>
              </w:rPr>
              <w:t>01.0</w:t>
            </w:r>
            <w:r w:rsidR="007D1FE6">
              <w:rPr>
                <w:color w:val="000000"/>
                <w:sz w:val="18"/>
                <w:szCs w:val="18"/>
              </w:rPr>
              <w:t>1</w:t>
            </w:r>
            <w:r w:rsidRPr="002D0269">
              <w:rPr>
                <w:color w:val="000000"/>
                <w:sz w:val="18"/>
                <w:szCs w:val="18"/>
              </w:rPr>
              <w:t>.2024.-30.04.2025.</w:t>
            </w:r>
          </w:p>
        </w:tc>
        <w:tc>
          <w:tcPr>
            <w:tcW w:w="1701" w:type="dxa"/>
          </w:tcPr>
          <w:p w:rsidR="00F14F3E" w:rsidRPr="002D0269" w:rsidP="004528FC" w14:paraId="6E537480" w14:textId="77777777">
            <w:pPr>
              <w:autoSpaceDE w:val="0"/>
              <w:autoSpaceDN w:val="0"/>
              <w:adjustRightInd w:val="0"/>
              <w:rPr>
                <w:color w:val="000000"/>
                <w:sz w:val="18"/>
                <w:szCs w:val="18"/>
              </w:rPr>
            </w:pPr>
            <w:r w:rsidRPr="002D0269">
              <w:rPr>
                <w:sz w:val="18"/>
                <w:szCs w:val="18"/>
              </w:rPr>
              <w:t>90000048472</w:t>
            </w:r>
          </w:p>
        </w:tc>
        <w:tc>
          <w:tcPr>
            <w:tcW w:w="2013" w:type="dxa"/>
          </w:tcPr>
          <w:p w:rsidR="00F14F3E" w:rsidRPr="002D0269" w:rsidP="004528FC" w14:paraId="12A947EA" w14:textId="01813BCD">
            <w:pPr>
              <w:autoSpaceDE w:val="0"/>
              <w:autoSpaceDN w:val="0"/>
              <w:adjustRightInd w:val="0"/>
              <w:rPr>
                <w:color w:val="000000"/>
                <w:sz w:val="18"/>
                <w:szCs w:val="18"/>
              </w:rPr>
            </w:pPr>
            <w:r>
              <w:rPr>
                <w:sz w:val="18"/>
                <w:szCs w:val="18"/>
              </w:rPr>
              <w:t>20</w:t>
            </w:r>
            <w:r w:rsidRPr="002D0269">
              <w:rPr>
                <w:sz w:val="18"/>
                <w:szCs w:val="18"/>
              </w:rPr>
              <w:t xml:space="preserve"> 000</w:t>
            </w:r>
          </w:p>
        </w:tc>
      </w:tr>
      <w:tr w14:paraId="07212BA7" w14:textId="77777777" w:rsidTr="004528FC">
        <w:tblPrEx>
          <w:tblW w:w="9101" w:type="dxa"/>
          <w:tblInd w:w="108" w:type="dxa"/>
          <w:tblLayout w:type="fixed"/>
          <w:tblLook w:val="0000"/>
        </w:tblPrEx>
        <w:tc>
          <w:tcPr>
            <w:tcW w:w="1134" w:type="dxa"/>
          </w:tcPr>
          <w:p w:rsidR="00F14F3E" w:rsidRPr="002D0269" w:rsidP="004528FC" w14:paraId="2F88AFD2" w14:textId="4D09E994">
            <w:pPr>
              <w:jc w:val="both"/>
              <w:rPr>
                <w:rFonts w:eastAsiaTheme="minorHAnsi"/>
                <w:sz w:val="18"/>
                <w:szCs w:val="18"/>
              </w:rPr>
            </w:pPr>
            <w:r w:rsidRPr="002D0269">
              <w:rPr>
                <w:rFonts w:eastAsiaTheme="minorHAnsi"/>
                <w:sz w:val="18"/>
                <w:szCs w:val="18"/>
                <w:lang w:eastAsia="en-US"/>
              </w:rPr>
              <w:t>2024/2025</w:t>
            </w:r>
          </w:p>
        </w:tc>
        <w:tc>
          <w:tcPr>
            <w:tcW w:w="3006" w:type="dxa"/>
          </w:tcPr>
          <w:p w:rsidR="00F14F3E" w:rsidRPr="002D0269" w:rsidP="004528FC" w14:paraId="29CDC5D0" w14:textId="5294A785">
            <w:pPr>
              <w:jc w:val="both"/>
              <w:rPr>
                <w:rFonts w:eastAsiaTheme="minorHAnsi"/>
                <w:sz w:val="18"/>
                <w:szCs w:val="18"/>
              </w:rPr>
            </w:pPr>
            <w:r w:rsidRPr="002D0269">
              <w:rPr>
                <w:sz w:val="18"/>
                <w:szCs w:val="18"/>
              </w:rPr>
              <w:t xml:space="preserve">Carnikavas novada pašvaldības aģentūra "Carnikavas </w:t>
            </w:r>
            <w:r w:rsidRPr="002D0269" w:rsidR="000B15E4">
              <w:rPr>
                <w:sz w:val="18"/>
                <w:szCs w:val="18"/>
              </w:rPr>
              <w:t>k</w:t>
            </w:r>
            <w:r w:rsidRPr="002D0269">
              <w:rPr>
                <w:sz w:val="18"/>
                <w:szCs w:val="18"/>
              </w:rPr>
              <w:t>omunālserviss"</w:t>
            </w:r>
          </w:p>
        </w:tc>
        <w:tc>
          <w:tcPr>
            <w:tcW w:w="1247" w:type="dxa"/>
          </w:tcPr>
          <w:p w:rsidR="00F14F3E" w:rsidRPr="002D0269" w:rsidP="004528FC" w14:paraId="562A81B8" w14:textId="5FB436D2">
            <w:pPr>
              <w:autoSpaceDE w:val="0"/>
              <w:autoSpaceDN w:val="0"/>
              <w:adjustRightInd w:val="0"/>
              <w:rPr>
                <w:color w:val="000000"/>
                <w:sz w:val="18"/>
                <w:szCs w:val="18"/>
              </w:rPr>
            </w:pPr>
            <w:r w:rsidRPr="002D0269">
              <w:rPr>
                <w:color w:val="000000"/>
                <w:sz w:val="18"/>
                <w:szCs w:val="18"/>
              </w:rPr>
              <w:t>01.0</w:t>
            </w:r>
            <w:r w:rsidR="007D1FE6">
              <w:rPr>
                <w:color w:val="000000"/>
                <w:sz w:val="18"/>
                <w:szCs w:val="18"/>
              </w:rPr>
              <w:t>1</w:t>
            </w:r>
            <w:r w:rsidRPr="002D0269">
              <w:rPr>
                <w:color w:val="000000"/>
                <w:sz w:val="18"/>
                <w:szCs w:val="18"/>
              </w:rPr>
              <w:t>.2024.-30.04.2025.</w:t>
            </w:r>
          </w:p>
        </w:tc>
        <w:tc>
          <w:tcPr>
            <w:tcW w:w="1701" w:type="dxa"/>
          </w:tcPr>
          <w:p w:rsidR="00F14F3E" w:rsidRPr="002D0269" w:rsidP="004528FC" w14:paraId="37BF62C9" w14:textId="77777777">
            <w:pPr>
              <w:autoSpaceDE w:val="0"/>
              <w:autoSpaceDN w:val="0"/>
              <w:adjustRightInd w:val="0"/>
              <w:rPr>
                <w:color w:val="000000"/>
                <w:sz w:val="18"/>
                <w:szCs w:val="18"/>
              </w:rPr>
            </w:pPr>
            <w:r w:rsidRPr="002D0269">
              <w:rPr>
                <w:color w:val="000000"/>
                <w:sz w:val="18"/>
                <w:szCs w:val="18"/>
              </w:rPr>
              <w:t>90001691745</w:t>
            </w:r>
          </w:p>
        </w:tc>
        <w:tc>
          <w:tcPr>
            <w:tcW w:w="2013" w:type="dxa"/>
          </w:tcPr>
          <w:p w:rsidR="00F14F3E" w:rsidRPr="002D0269" w:rsidP="004528FC" w14:paraId="443D84EC" w14:textId="59A30587">
            <w:pPr>
              <w:autoSpaceDE w:val="0"/>
              <w:autoSpaceDN w:val="0"/>
              <w:adjustRightInd w:val="0"/>
              <w:rPr>
                <w:color w:val="000000"/>
                <w:sz w:val="18"/>
                <w:szCs w:val="18"/>
              </w:rPr>
            </w:pPr>
            <w:r>
              <w:rPr>
                <w:color w:val="000000"/>
                <w:sz w:val="18"/>
                <w:szCs w:val="18"/>
              </w:rPr>
              <w:t>3 750</w:t>
            </w:r>
          </w:p>
        </w:tc>
      </w:tr>
      <w:bookmarkEnd w:id="2"/>
      <w:bookmarkEnd w:id="3"/>
    </w:tbl>
    <w:p w:rsidR="00F14F3E" w:rsidP="006816EE" w14:paraId="62CE1C72" w14:textId="77777777">
      <w:pPr>
        <w:pStyle w:val="NormalWeb"/>
        <w:spacing w:before="0" w:beforeAutospacing="0" w:after="0" w:afterAutospacing="0"/>
        <w:jc w:val="both"/>
        <w:rPr>
          <w:b/>
          <w:bCs/>
        </w:rPr>
      </w:pPr>
    </w:p>
    <w:p w:rsidR="006816EE" w:rsidRPr="007C7F2F" w:rsidP="006816EE" w14:paraId="7D9B673F" w14:textId="4518C86F">
      <w:pPr>
        <w:pStyle w:val="NormalWeb"/>
        <w:spacing w:before="0" w:beforeAutospacing="0" w:after="0" w:afterAutospacing="0"/>
        <w:jc w:val="both"/>
        <w:rPr>
          <w:b/>
          <w:bCs/>
        </w:rPr>
      </w:pPr>
      <w:r w:rsidRPr="007C7F2F">
        <w:rPr>
          <w:b/>
          <w:bCs/>
        </w:rPr>
        <w:t>Finanšu pārskata skaidrojumiem</w:t>
      </w:r>
    </w:p>
    <w:tbl>
      <w:tblPr>
        <w:tblW w:w="9072" w:type="dxa"/>
        <w:tblInd w:w="142" w:type="dxa"/>
        <w:tblLayout w:type="fixed"/>
        <w:tblLook w:val="04A0"/>
      </w:tblPr>
      <w:tblGrid>
        <w:gridCol w:w="250"/>
        <w:gridCol w:w="1036"/>
        <w:gridCol w:w="2116"/>
        <w:gridCol w:w="1247"/>
        <w:gridCol w:w="1672"/>
        <w:gridCol w:w="700"/>
        <w:gridCol w:w="2051"/>
      </w:tblGrid>
      <w:tr w14:paraId="7876E269" w14:textId="77777777" w:rsidTr="00B5171D">
        <w:tblPrEx>
          <w:tblW w:w="9072" w:type="dxa"/>
          <w:tblInd w:w="142" w:type="dxa"/>
          <w:tblLayout w:type="fixed"/>
          <w:tblLook w:val="04A0"/>
        </w:tblPrEx>
        <w:trPr>
          <w:gridBefore w:val="1"/>
          <w:gridAfter w:val="1"/>
          <w:wBefore w:w="250" w:type="dxa"/>
          <w:wAfter w:w="2051" w:type="dxa"/>
          <w:trHeight w:val="52"/>
        </w:trPr>
        <w:tc>
          <w:tcPr>
            <w:tcW w:w="6771" w:type="dxa"/>
            <w:gridSpan w:val="5"/>
            <w:hideMark/>
          </w:tcPr>
          <w:p w:rsidR="006816EE" w:rsidRPr="007C7F2F" w14:paraId="4DD4D186" w14:textId="77777777">
            <w:pPr>
              <w:pStyle w:val="Default"/>
              <w:jc w:val="both"/>
              <w:rPr>
                <w:lang w:val="lv-LV"/>
              </w:rPr>
            </w:pPr>
            <w:r w:rsidRPr="007C7F2F">
              <w:rPr>
                <w:sz w:val="20"/>
                <w:szCs w:val="20"/>
                <w:lang w:val="lv-LV"/>
              </w:rPr>
              <w:t xml:space="preserve"> </w:t>
            </w:r>
            <w:r w:rsidRPr="007C7F2F">
              <w:rPr>
                <w:b/>
                <w:bCs/>
                <w:lang w:val="lv-LV"/>
              </w:rPr>
              <w:t xml:space="preserve">Būtiskuma līmenis 2024.gada pārskata sagatavošanai: </w:t>
            </w:r>
          </w:p>
        </w:tc>
      </w:tr>
      <w:tr w14:paraId="48E85B8C" w14:textId="77777777" w:rsidTr="000B15E4">
        <w:tblPrEx>
          <w:tblW w:w="9072" w:type="dxa"/>
          <w:tblInd w:w="142" w:type="dxa"/>
          <w:tblLayout w:type="fixed"/>
          <w:tblLook w:val="04A0"/>
        </w:tblPrEx>
        <w:trPr>
          <w:trHeight w:val="225"/>
        </w:trPr>
        <w:tc>
          <w:tcPr>
            <w:tcW w:w="1286" w:type="dxa"/>
            <w:gridSpan w:val="2"/>
            <w:tcBorders>
              <w:top w:val="single" w:sz="4" w:space="0" w:color="auto"/>
              <w:left w:val="single" w:sz="4" w:space="0" w:color="auto"/>
              <w:bottom w:val="single" w:sz="4" w:space="0" w:color="auto"/>
              <w:right w:val="single" w:sz="4" w:space="0" w:color="auto"/>
            </w:tcBorders>
          </w:tcPr>
          <w:p w:rsidR="006816EE" w:rsidRPr="002D0269" w14:paraId="03D8C318" w14:textId="77777777">
            <w:pPr>
              <w:rPr>
                <w:bCs/>
                <w:sz w:val="18"/>
                <w:szCs w:val="18"/>
              </w:rPr>
            </w:pPr>
          </w:p>
        </w:tc>
        <w:tc>
          <w:tcPr>
            <w:tcW w:w="2116" w:type="dxa"/>
            <w:tcBorders>
              <w:top w:val="single" w:sz="4" w:space="0" w:color="auto"/>
              <w:left w:val="single" w:sz="4" w:space="0" w:color="auto"/>
              <w:bottom w:val="single" w:sz="4" w:space="0" w:color="auto"/>
              <w:right w:val="single" w:sz="4" w:space="0" w:color="auto"/>
            </w:tcBorders>
            <w:hideMark/>
          </w:tcPr>
          <w:p w:rsidR="006816EE" w:rsidRPr="002D0269" w14:paraId="2DC12764" w14:textId="77777777">
            <w:pPr>
              <w:rPr>
                <w:bCs/>
                <w:sz w:val="18"/>
                <w:szCs w:val="18"/>
              </w:rPr>
            </w:pPr>
            <w:r w:rsidRPr="002D0269">
              <w:rPr>
                <w:bCs/>
                <w:sz w:val="18"/>
                <w:szCs w:val="18"/>
              </w:rPr>
              <w:t>Iestāde</w:t>
            </w:r>
          </w:p>
        </w:tc>
        <w:tc>
          <w:tcPr>
            <w:tcW w:w="1247" w:type="dxa"/>
            <w:tcBorders>
              <w:top w:val="single" w:sz="4" w:space="0" w:color="auto"/>
              <w:left w:val="single" w:sz="4" w:space="0" w:color="auto"/>
              <w:bottom w:val="single" w:sz="4" w:space="0" w:color="auto"/>
              <w:right w:val="single" w:sz="4" w:space="0" w:color="auto"/>
            </w:tcBorders>
            <w:hideMark/>
          </w:tcPr>
          <w:p w:rsidR="006816EE" w:rsidRPr="002D0269" w14:paraId="6610FF97" w14:textId="77777777">
            <w:pPr>
              <w:rPr>
                <w:bCs/>
                <w:sz w:val="18"/>
                <w:szCs w:val="18"/>
              </w:rPr>
            </w:pPr>
            <w:r w:rsidRPr="002D0269">
              <w:rPr>
                <w:bCs/>
                <w:sz w:val="18"/>
                <w:szCs w:val="18"/>
              </w:rPr>
              <w:t>Periods</w:t>
            </w:r>
          </w:p>
        </w:tc>
        <w:tc>
          <w:tcPr>
            <w:tcW w:w="1672" w:type="dxa"/>
            <w:tcBorders>
              <w:top w:val="single" w:sz="4" w:space="0" w:color="auto"/>
              <w:left w:val="single" w:sz="4" w:space="0" w:color="auto"/>
              <w:bottom w:val="single" w:sz="4" w:space="0" w:color="auto"/>
              <w:right w:val="single" w:sz="4" w:space="0" w:color="auto"/>
            </w:tcBorders>
            <w:hideMark/>
          </w:tcPr>
          <w:p w:rsidR="006816EE" w:rsidRPr="002D0269" w14:paraId="352A4302" w14:textId="77777777">
            <w:pPr>
              <w:rPr>
                <w:bCs/>
                <w:sz w:val="18"/>
                <w:szCs w:val="18"/>
              </w:rPr>
            </w:pPr>
            <w:r w:rsidRPr="002D0269">
              <w:rPr>
                <w:bCs/>
                <w:sz w:val="18"/>
                <w:szCs w:val="18"/>
              </w:rPr>
              <w:t>Reģ.nr.</w:t>
            </w:r>
          </w:p>
        </w:tc>
        <w:tc>
          <w:tcPr>
            <w:tcW w:w="2751" w:type="dxa"/>
            <w:gridSpan w:val="2"/>
            <w:tcBorders>
              <w:top w:val="single" w:sz="4" w:space="0" w:color="auto"/>
              <w:left w:val="single" w:sz="4" w:space="0" w:color="auto"/>
              <w:bottom w:val="single" w:sz="4" w:space="0" w:color="auto"/>
              <w:right w:val="single" w:sz="4" w:space="0" w:color="auto"/>
            </w:tcBorders>
            <w:hideMark/>
          </w:tcPr>
          <w:tbl>
            <w:tblPr>
              <w:tblW w:w="2640" w:type="dxa"/>
              <w:tblLayout w:type="fixed"/>
              <w:tblLook w:val="04A0"/>
            </w:tblPr>
            <w:tblGrid>
              <w:gridCol w:w="2640"/>
            </w:tblGrid>
            <w:tr w14:paraId="529A452E" w14:textId="77777777">
              <w:tblPrEx>
                <w:tblW w:w="2640" w:type="dxa"/>
                <w:tblLayout w:type="fixed"/>
                <w:tblLook w:val="04A0"/>
              </w:tblPrEx>
              <w:trPr>
                <w:trHeight w:val="165"/>
              </w:trPr>
              <w:tc>
                <w:tcPr>
                  <w:tcW w:w="2639" w:type="dxa"/>
                  <w:hideMark/>
                </w:tcPr>
                <w:p w:rsidR="006816EE" w:rsidRPr="002D0269" w14:paraId="315986EF" w14:textId="77777777">
                  <w:pPr>
                    <w:pStyle w:val="Default"/>
                    <w:jc w:val="both"/>
                    <w:rPr>
                      <w:bCs/>
                      <w:sz w:val="18"/>
                      <w:szCs w:val="18"/>
                      <w:lang w:val="lv-LV"/>
                    </w:rPr>
                  </w:pPr>
                  <w:r w:rsidRPr="002D0269">
                    <w:rPr>
                      <w:bCs/>
                      <w:sz w:val="18"/>
                      <w:szCs w:val="18"/>
                      <w:lang w:val="lv-LV"/>
                    </w:rPr>
                    <w:t xml:space="preserve"> Būtiskuma līmenis, &gt; = EUR</w:t>
                  </w:r>
                </w:p>
              </w:tc>
            </w:tr>
            <w:tr w14:paraId="1DCC20C8" w14:textId="77777777">
              <w:tblPrEx>
                <w:tblW w:w="2640" w:type="dxa"/>
                <w:tblLayout w:type="fixed"/>
                <w:tblLook w:val="04A0"/>
              </w:tblPrEx>
              <w:trPr>
                <w:trHeight w:val="92"/>
              </w:trPr>
              <w:tc>
                <w:tcPr>
                  <w:tcW w:w="2639" w:type="dxa"/>
                </w:tcPr>
                <w:p w:rsidR="006816EE" w:rsidRPr="002D0269" w14:paraId="035CE50F" w14:textId="77777777">
                  <w:pPr>
                    <w:pStyle w:val="Default"/>
                    <w:jc w:val="both"/>
                    <w:rPr>
                      <w:bCs/>
                      <w:sz w:val="18"/>
                      <w:szCs w:val="18"/>
                      <w:lang w:val="lv-LV"/>
                    </w:rPr>
                  </w:pPr>
                </w:p>
              </w:tc>
            </w:tr>
          </w:tbl>
          <w:p w:rsidR="006816EE" w:rsidRPr="002D0269" w14:paraId="3B125234" w14:textId="77777777">
            <w:pPr>
              <w:rPr>
                <w:bCs/>
                <w:sz w:val="18"/>
                <w:szCs w:val="18"/>
              </w:rPr>
            </w:pPr>
          </w:p>
        </w:tc>
      </w:tr>
      <w:tr w14:paraId="0B32AC59" w14:textId="77777777" w:rsidTr="00B5171D">
        <w:tblPrEx>
          <w:tblW w:w="9072" w:type="dxa"/>
          <w:tblInd w:w="142" w:type="dxa"/>
          <w:tblLayout w:type="fixed"/>
          <w:tblLook w:val="04A0"/>
        </w:tblPrEx>
        <w:trPr>
          <w:trHeight w:val="499"/>
        </w:trPr>
        <w:tc>
          <w:tcPr>
            <w:tcW w:w="1286" w:type="dxa"/>
            <w:gridSpan w:val="2"/>
            <w:tcBorders>
              <w:top w:val="single" w:sz="4" w:space="0" w:color="auto"/>
              <w:left w:val="single" w:sz="4" w:space="0" w:color="auto"/>
              <w:bottom w:val="single" w:sz="4" w:space="0" w:color="auto"/>
              <w:right w:val="single" w:sz="4" w:space="0" w:color="auto"/>
            </w:tcBorders>
          </w:tcPr>
          <w:p w:rsidR="000B15E4" w:rsidRPr="002D0269" w:rsidP="000B15E4" w14:paraId="3150E8E7" w14:textId="15E02749">
            <w:pPr>
              <w:rPr>
                <w:sz w:val="18"/>
                <w:szCs w:val="18"/>
              </w:rPr>
            </w:pPr>
            <w:r w:rsidRPr="002D0269">
              <w:rPr>
                <w:rFonts w:eastAsiaTheme="minorHAnsi"/>
                <w:sz w:val="18"/>
                <w:szCs w:val="18"/>
                <w:lang w:eastAsia="en-US"/>
              </w:rPr>
              <w:t>2024/2025</w:t>
            </w:r>
          </w:p>
        </w:tc>
        <w:tc>
          <w:tcPr>
            <w:tcW w:w="2116" w:type="dxa"/>
            <w:tcBorders>
              <w:top w:val="single" w:sz="4" w:space="0" w:color="auto"/>
              <w:left w:val="single" w:sz="4" w:space="0" w:color="auto"/>
              <w:bottom w:val="single" w:sz="4" w:space="0" w:color="auto"/>
              <w:right w:val="single" w:sz="4" w:space="0" w:color="auto"/>
            </w:tcBorders>
          </w:tcPr>
          <w:p w:rsidR="000B15E4" w:rsidRPr="002D0269" w:rsidP="000B15E4" w14:paraId="0803AF5A" w14:textId="534FC82D">
            <w:pPr>
              <w:rPr>
                <w:b/>
                <w:sz w:val="18"/>
                <w:szCs w:val="18"/>
              </w:rPr>
            </w:pPr>
            <w:r w:rsidRPr="002D0269">
              <w:rPr>
                <w:sz w:val="18"/>
                <w:szCs w:val="18"/>
              </w:rPr>
              <w:t>Ādažu novads</w:t>
            </w:r>
          </w:p>
        </w:tc>
        <w:tc>
          <w:tcPr>
            <w:tcW w:w="1247" w:type="dxa"/>
            <w:tcBorders>
              <w:top w:val="single" w:sz="4" w:space="0" w:color="auto"/>
              <w:left w:val="single" w:sz="4" w:space="0" w:color="auto"/>
              <w:bottom w:val="single" w:sz="4" w:space="0" w:color="auto"/>
              <w:right w:val="single" w:sz="4" w:space="0" w:color="auto"/>
            </w:tcBorders>
          </w:tcPr>
          <w:p w:rsidR="000B15E4" w:rsidRPr="002D0269" w:rsidP="000B15E4" w14:paraId="106AC379" w14:textId="766C919E">
            <w:pPr>
              <w:rPr>
                <w:b/>
                <w:sz w:val="18"/>
                <w:szCs w:val="18"/>
              </w:rPr>
            </w:pPr>
            <w:r w:rsidRPr="002D0269">
              <w:rPr>
                <w:color w:val="000000"/>
                <w:sz w:val="18"/>
                <w:szCs w:val="18"/>
              </w:rPr>
              <w:t>01.0</w:t>
            </w:r>
            <w:r w:rsidR="007D1FE6">
              <w:rPr>
                <w:color w:val="000000"/>
                <w:sz w:val="18"/>
                <w:szCs w:val="18"/>
              </w:rPr>
              <w:t>1</w:t>
            </w:r>
            <w:r w:rsidRPr="002D0269">
              <w:rPr>
                <w:color w:val="000000"/>
                <w:sz w:val="18"/>
                <w:szCs w:val="18"/>
              </w:rPr>
              <w:t>.2024.-30.04.2025.</w:t>
            </w:r>
          </w:p>
        </w:tc>
        <w:tc>
          <w:tcPr>
            <w:tcW w:w="1672" w:type="dxa"/>
            <w:tcBorders>
              <w:top w:val="single" w:sz="4" w:space="0" w:color="auto"/>
              <w:left w:val="single" w:sz="4" w:space="0" w:color="auto"/>
              <w:bottom w:val="single" w:sz="4" w:space="0" w:color="auto"/>
              <w:right w:val="single" w:sz="4" w:space="0" w:color="auto"/>
            </w:tcBorders>
          </w:tcPr>
          <w:p w:rsidR="000B15E4" w:rsidRPr="002D0269" w:rsidP="000B15E4" w14:paraId="6AD9C023" w14:textId="6389B209">
            <w:pPr>
              <w:rPr>
                <w:b/>
                <w:sz w:val="18"/>
                <w:szCs w:val="18"/>
              </w:rPr>
            </w:pPr>
            <w:r w:rsidRPr="002D0269">
              <w:rPr>
                <w:sz w:val="18"/>
                <w:szCs w:val="18"/>
              </w:rPr>
              <w:t>90000048472</w:t>
            </w:r>
          </w:p>
        </w:tc>
        <w:tc>
          <w:tcPr>
            <w:tcW w:w="2751" w:type="dxa"/>
            <w:gridSpan w:val="2"/>
            <w:tcBorders>
              <w:top w:val="single" w:sz="4" w:space="0" w:color="auto"/>
              <w:left w:val="single" w:sz="4" w:space="0" w:color="auto"/>
              <w:bottom w:val="single" w:sz="4" w:space="0" w:color="auto"/>
              <w:right w:val="single" w:sz="4" w:space="0" w:color="auto"/>
            </w:tcBorders>
          </w:tcPr>
          <w:p w:rsidR="000B15E4" w:rsidRPr="002D0269" w:rsidP="000B15E4" w14:paraId="3EACEDFC" w14:textId="5B36A909">
            <w:pPr>
              <w:pStyle w:val="Default"/>
              <w:jc w:val="both"/>
              <w:rPr>
                <w:sz w:val="18"/>
                <w:szCs w:val="18"/>
                <w:lang w:val="lv-LV"/>
              </w:rPr>
            </w:pPr>
            <w:r w:rsidRPr="002D0269">
              <w:rPr>
                <w:sz w:val="18"/>
                <w:szCs w:val="18"/>
              </w:rPr>
              <w:t>200 000</w:t>
            </w:r>
          </w:p>
        </w:tc>
      </w:tr>
      <w:tr w14:paraId="1AE4A0F8" w14:textId="77777777" w:rsidTr="00B5171D">
        <w:tblPrEx>
          <w:tblW w:w="9072" w:type="dxa"/>
          <w:tblInd w:w="142" w:type="dxa"/>
          <w:tblLayout w:type="fixed"/>
          <w:tblLook w:val="04A0"/>
        </w:tblPrEx>
        <w:trPr>
          <w:trHeight w:val="572"/>
        </w:trPr>
        <w:tc>
          <w:tcPr>
            <w:tcW w:w="1286" w:type="dxa"/>
            <w:gridSpan w:val="2"/>
            <w:tcBorders>
              <w:top w:val="single" w:sz="4" w:space="0" w:color="auto"/>
              <w:left w:val="single" w:sz="4" w:space="0" w:color="auto"/>
              <w:bottom w:val="single" w:sz="4" w:space="0" w:color="auto"/>
              <w:right w:val="single" w:sz="4" w:space="0" w:color="auto"/>
            </w:tcBorders>
            <w:hideMark/>
          </w:tcPr>
          <w:p w:rsidR="006816EE" w:rsidRPr="002D0269" w14:paraId="150CEEB7" w14:textId="77777777">
            <w:pPr>
              <w:rPr>
                <w:sz w:val="18"/>
                <w:szCs w:val="18"/>
              </w:rPr>
            </w:pPr>
            <w:r w:rsidRPr="002D0269">
              <w:rPr>
                <w:sz w:val="18"/>
                <w:szCs w:val="18"/>
              </w:rPr>
              <w:t>2024/2025</w:t>
            </w:r>
          </w:p>
        </w:tc>
        <w:tc>
          <w:tcPr>
            <w:tcW w:w="2116" w:type="dxa"/>
            <w:tcBorders>
              <w:top w:val="single" w:sz="4" w:space="0" w:color="auto"/>
              <w:left w:val="single" w:sz="4" w:space="0" w:color="auto"/>
              <w:bottom w:val="single" w:sz="4" w:space="0" w:color="auto"/>
              <w:right w:val="single" w:sz="4" w:space="0" w:color="auto"/>
            </w:tcBorders>
            <w:hideMark/>
          </w:tcPr>
          <w:p w:rsidR="006816EE" w:rsidRPr="002D0269" w14:paraId="2C2EA8B1" w14:textId="571C248D">
            <w:pPr>
              <w:rPr>
                <w:sz w:val="18"/>
                <w:szCs w:val="18"/>
              </w:rPr>
            </w:pPr>
            <w:r w:rsidRPr="002D0269">
              <w:rPr>
                <w:sz w:val="18"/>
                <w:szCs w:val="18"/>
              </w:rPr>
              <w:t>Ādažu novada pašvaldība</w:t>
            </w:r>
          </w:p>
        </w:tc>
        <w:tc>
          <w:tcPr>
            <w:tcW w:w="1247" w:type="dxa"/>
            <w:tcBorders>
              <w:top w:val="single" w:sz="4" w:space="0" w:color="auto"/>
              <w:left w:val="single" w:sz="4" w:space="0" w:color="auto"/>
              <w:bottom w:val="single" w:sz="4" w:space="0" w:color="auto"/>
              <w:right w:val="single" w:sz="4" w:space="0" w:color="auto"/>
            </w:tcBorders>
            <w:hideMark/>
          </w:tcPr>
          <w:p w:rsidR="006816EE" w:rsidRPr="002D0269" w14:paraId="150A4959" w14:textId="77777777">
            <w:pPr>
              <w:pStyle w:val="Default"/>
              <w:jc w:val="both"/>
              <w:rPr>
                <w:sz w:val="18"/>
                <w:szCs w:val="18"/>
                <w:lang w:val="lv-LV"/>
              </w:rPr>
            </w:pPr>
            <w:r w:rsidRPr="002D0269">
              <w:rPr>
                <w:sz w:val="18"/>
                <w:szCs w:val="18"/>
                <w:lang w:val="lv-LV"/>
              </w:rPr>
              <w:t>01.01.2024.-30.04.2025.</w:t>
            </w:r>
          </w:p>
        </w:tc>
        <w:tc>
          <w:tcPr>
            <w:tcW w:w="1672" w:type="dxa"/>
            <w:tcBorders>
              <w:top w:val="single" w:sz="4" w:space="0" w:color="auto"/>
              <w:left w:val="single" w:sz="4" w:space="0" w:color="auto"/>
              <w:bottom w:val="single" w:sz="4" w:space="0" w:color="auto"/>
              <w:right w:val="single" w:sz="4" w:space="0" w:color="auto"/>
            </w:tcBorders>
            <w:hideMark/>
          </w:tcPr>
          <w:p w:rsidR="006816EE" w:rsidRPr="002D0269" w14:paraId="46AC93E7" w14:textId="1FA7FB85">
            <w:pPr>
              <w:pStyle w:val="Default"/>
              <w:jc w:val="both"/>
              <w:rPr>
                <w:sz w:val="18"/>
                <w:szCs w:val="18"/>
                <w:lang w:val="lv-LV"/>
              </w:rPr>
            </w:pPr>
            <w:r w:rsidRPr="002D0269">
              <w:rPr>
                <w:sz w:val="18"/>
                <w:szCs w:val="18"/>
                <w:lang w:val="lv-LV"/>
              </w:rPr>
              <w:t>9000</w:t>
            </w:r>
            <w:r w:rsidRPr="002D0269" w:rsidR="00FD3E91">
              <w:rPr>
                <w:sz w:val="18"/>
                <w:szCs w:val="18"/>
                <w:lang w:val="lv-LV"/>
              </w:rPr>
              <w:t>0</w:t>
            </w:r>
            <w:r w:rsidR="007D1FE6">
              <w:rPr>
                <w:sz w:val="18"/>
                <w:szCs w:val="18"/>
                <w:lang w:val="lv-LV"/>
              </w:rPr>
              <w:t>0</w:t>
            </w:r>
            <w:r w:rsidRPr="002D0269" w:rsidR="00FD3E91">
              <w:rPr>
                <w:sz w:val="18"/>
                <w:szCs w:val="18"/>
                <w:lang w:val="lv-LV"/>
              </w:rPr>
              <w:t>48472</w:t>
            </w:r>
          </w:p>
        </w:tc>
        <w:tc>
          <w:tcPr>
            <w:tcW w:w="2751" w:type="dxa"/>
            <w:gridSpan w:val="2"/>
            <w:tcBorders>
              <w:top w:val="single" w:sz="4" w:space="0" w:color="auto"/>
              <w:left w:val="single" w:sz="4" w:space="0" w:color="auto"/>
              <w:bottom w:val="single" w:sz="4" w:space="0" w:color="auto"/>
              <w:right w:val="single" w:sz="4" w:space="0" w:color="auto"/>
            </w:tcBorders>
            <w:hideMark/>
          </w:tcPr>
          <w:p w:rsidR="006816EE" w:rsidRPr="002D0269" w14:paraId="65B2E413" w14:textId="739C958C">
            <w:pPr>
              <w:pStyle w:val="Default"/>
              <w:jc w:val="both"/>
              <w:rPr>
                <w:sz w:val="18"/>
                <w:szCs w:val="18"/>
                <w:lang w:val="lv-LV"/>
              </w:rPr>
            </w:pPr>
            <w:r w:rsidRPr="002D0269">
              <w:rPr>
                <w:sz w:val="18"/>
                <w:szCs w:val="18"/>
                <w:lang w:val="lv-LV"/>
              </w:rPr>
              <w:t>250 000</w:t>
            </w:r>
          </w:p>
        </w:tc>
      </w:tr>
      <w:tr w14:paraId="277C6D35" w14:textId="77777777" w:rsidTr="00B5171D">
        <w:tblPrEx>
          <w:tblW w:w="9072" w:type="dxa"/>
          <w:tblInd w:w="142" w:type="dxa"/>
          <w:tblLayout w:type="fixed"/>
          <w:tblLook w:val="04A0"/>
        </w:tblPrEx>
        <w:trPr>
          <w:trHeight w:val="572"/>
        </w:trPr>
        <w:tc>
          <w:tcPr>
            <w:tcW w:w="1286" w:type="dxa"/>
            <w:gridSpan w:val="2"/>
            <w:tcBorders>
              <w:top w:val="single" w:sz="4" w:space="0" w:color="auto"/>
              <w:left w:val="single" w:sz="4" w:space="0" w:color="auto"/>
              <w:bottom w:val="single" w:sz="4" w:space="0" w:color="auto"/>
              <w:right w:val="single" w:sz="4" w:space="0" w:color="auto"/>
            </w:tcBorders>
          </w:tcPr>
          <w:p w:rsidR="00C835DC" w:rsidRPr="002D0269" w:rsidP="00C835DC" w14:paraId="61B95E16" w14:textId="4B46B866">
            <w:pPr>
              <w:rPr>
                <w:sz w:val="18"/>
                <w:szCs w:val="18"/>
              </w:rPr>
            </w:pPr>
            <w:r w:rsidRPr="002D0269">
              <w:rPr>
                <w:sz w:val="18"/>
                <w:szCs w:val="18"/>
              </w:rPr>
              <w:t>2024/2025</w:t>
            </w:r>
          </w:p>
        </w:tc>
        <w:tc>
          <w:tcPr>
            <w:tcW w:w="2116" w:type="dxa"/>
            <w:tcBorders>
              <w:top w:val="single" w:sz="4" w:space="0" w:color="auto"/>
              <w:left w:val="single" w:sz="4" w:space="0" w:color="auto"/>
              <w:bottom w:val="single" w:sz="4" w:space="0" w:color="auto"/>
              <w:right w:val="single" w:sz="4" w:space="0" w:color="auto"/>
            </w:tcBorders>
          </w:tcPr>
          <w:p w:rsidR="00C835DC" w:rsidRPr="002D0269" w:rsidP="00C835DC" w14:paraId="1F5B56EC" w14:textId="731CEE4E">
            <w:pPr>
              <w:rPr>
                <w:sz w:val="18"/>
                <w:szCs w:val="18"/>
              </w:rPr>
            </w:pPr>
            <w:r w:rsidRPr="002D0269">
              <w:rPr>
                <w:sz w:val="18"/>
                <w:szCs w:val="18"/>
              </w:rPr>
              <w:t>"Carnikavas Komunālserviss" pašvaldības aģentūra</w:t>
            </w:r>
          </w:p>
        </w:tc>
        <w:tc>
          <w:tcPr>
            <w:tcW w:w="1247" w:type="dxa"/>
            <w:tcBorders>
              <w:top w:val="single" w:sz="4" w:space="0" w:color="auto"/>
              <w:left w:val="single" w:sz="4" w:space="0" w:color="auto"/>
              <w:bottom w:val="single" w:sz="4" w:space="0" w:color="auto"/>
              <w:right w:val="single" w:sz="4" w:space="0" w:color="auto"/>
            </w:tcBorders>
          </w:tcPr>
          <w:p w:rsidR="00C835DC" w:rsidRPr="002D0269" w:rsidP="00C835DC" w14:paraId="0E2268EA" w14:textId="37EF0A97">
            <w:pPr>
              <w:pStyle w:val="Default"/>
              <w:jc w:val="both"/>
              <w:rPr>
                <w:sz w:val="18"/>
                <w:szCs w:val="18"/>
                <w:lang w:val="lv-LV"/>
              </w:rPr>
            </w:pPr>
            <w:r w:rsidRPr="002D0269">
              <w:rPr>
                <w:sz w:val="18"/>
                <w:szCs w:val="18"/>
                <w:lang w:val="lv-LV"/>
              </w:rPr>
              <w:t>01.01.2024.-30.04.2025.</w:t>
            </w:r>
          </w:p>
        </w:tc>
        <w:tc>
          <w:tcPr>
            <w:tcW w:w="1672" w:type="dxa"/>
            <w:tcBorders>
              <w:top w:val="single" w:sz="4" w:space="0" w:color="auto"/>
              <w:left w:val="single" w:sz="4" w:space="0" w:color="auto"/>
              <w:bottom w:val="single" w:sz="4" w:space="0" w:color="auto"/>
              <w:right w:val="single" w:sz="4" w:space="0" w:color="auto"/>
            </w:tcBorders>
          </w:tcPr>
          <w:p w:rsidR="00C835DC" w:rsidRPr="002D0269" w:rsidP="00C835DC" w14:paraId="591F8FEE" w14:textId="68761E31">
            <w:pPr>
              <w:pStyle w:val="Default"/>
              <w:jc w:val="both"/>
              <w:rPr>
                <w:sz w:val="18"/>
                <w:szCs w:val="18"/>
                <w:lang w:val="lv-LV"/>
              </w:rPr>
            </w:pPr>
            <w:r w:rsidRPr="002D0269">
              <w:rPr>
                <w:sz w:val="18"/>
                <w:szCs w:val="18"/>
                <w:lang w:val="lv-LV"/>
              </w:rPr>
              <w:t>90001691745</w:t>
            </w:r>
          </w:p>
        </w:tc>
        <w:tc>
          <w:tcPr>
            <w:tcW w:w="2751" w:type="dxa"/>
            <w:gridSpan w:val="2"/>
            <w:tcBorders>
              <w:top w:val="single" w:sz="4" w:space="0" w:color="auto"/>
              <w:left w:val="single" w:sz="4" w:space="0" w:color="auto"/>
              <w:bottom w:val="single" w:sz="4" w:space="0" w:color="auto"/>
              <w:right w:val="single" w:sz="4" w:space="0" w:color="auto"/>
            </w:tcBorders>
          </w:tcPr>
          <w:p w:rsidR="00C835DC" w:rsidRPr="002D0269" w:rsidP="00C835DC" w14:paraId="2AE17CC5" w14:textId="167127C1">
            <w:pPr>
              <w:pStyle w:val="Default"/>
              <w:jc w:val="both"/>
              <w:rPr>
                <w:sz w:val="18"/>
                <w:szCs w:val="18"/>
                <w:lang w:val="lv-LV"/>
              </w:rPr>
            </w:pPr>
            <w:r w:rsidRPr="002D0269">
              <w:rPr>
                <w:sz w:val="18"/>
                <w:szCs w:val="18"/>
                <w:lang w:val="lv-LV"/>
              </w:rPr>
              <w:t>37 500</w:t>
            </w:r>
          </w:p>
        </w:tc>
      </w:tr>
    </w:tbl>
    <w:p w:rsidR="006816EE" w:rsidRPr="007C7F2F" w:rsidP="006816EE" w14:paraId="50000B6E" w14:textId="77777777">
      <w:pPr>
        <w:pStyle w:val="NormalWeb"/>
        <w:spacing w:before="0" w:beforeAutospacing="0" w:after="0" w:afterAutospacing="0"/>
        <w:jc w:val="both"/>
        <w:rPr>
          <w:b/>
          <w:bCs/>
          <w:sz w:val="20"/>
          <w:szCs w:val="20"/>
        </w:rPr>
      </w:pPr>
    </w:p>
    <w:p w:rsidR="006816EE" w:rsidRPr="007C7F2F" w:rsidP="006816EE" w14:paraId="2CC363CA" w14:textId="77777777">
      <w:pPr>
        <w:pStyle w:val="NormalWeb"/>
        <w:spacing w:before="0" w:beforeAutospacing="0" w:after="0" w:afterAutospacing="0"/>
        <w:jc w:val="both"/>
        <w:rPr>
          <w:b/>
          <w:bCs/>
        </w:rPr>
      </w:pPr>
      <w:r w:rsidRPr="007C7F2F">
        <w:rPr>
          <w:b/>
          <w:bCs/>
        </w:rPr>
        <w:t>Koriģējošiem un nekoriģējošiem darījumiem</w:t>
      </w:r>
    </w:p>
    <w:tbl>
      <w:tblPr>
        <w:tblW w:w="9175" w:type="dxa"/>
        <w:tblInd w:w="142" w:type="dxa"/>
        <w:tblLayout w:type="fixed"/>
        <w:tblLook w:val="04A0"/>
      </w:tblPr>
      <w:tblGrid>
        <w:gridCol w:w="250"/>
        <w:gridCol w:w="999"/>
        <w:gridCol w:w="2153"/>
        <w:gridCol w:w="1527"/>
        <w:gridCol w:w="1804"/>
        <w:gridCol w:w="2339"/>
        <w:gridCol w:w="103"/>
      </w:tblGrid>
      <w:tr w14:paraId="1DC334F7" w14:textId="77777777" w:rsidTr="002D0269">
        <w:tblPrEx>
          <w:tblW w:w="9175" w:type="dxa"/>
          <w:tblInd w:w="142" w:type="dxa"/>
          <w:tblLayout w:type="fixed"/>
          <w:tblLook w:val="04A0"/>
        </w:tblPrEx>
        <w:trPr>
          <w:gridBefore w:val="1"/>
          <w:wBefore w:w="250" w:type="dxa"/>
          <w:trHeight w:val="158"/>
        </w:trPr>
        <w:tc>
          <w:tcPr>
            <w:tcW w:w="8925" w:type="dxa"/>
            <w:gridSpan w:val="6"/>
            <w:hideMark/>
          </w:tcPr>
          <w:p w:rsidR="006816EE" w:rsidRPr="007C7F2F" w14:paraId="5ED7F447" w14:textId="77777777">
            <w:pPr>
              <w:pStyle w:val="Default"/>
              <w:jc w:val="both"/>
              <w:rPr>
                <w:lang w:val="lv-LV"/>
              </w:rPr>
            </w:pPr>
            <w:r w:rsidRPr="007C7F2F">
              <w:rPr>
                <w:lang w:val="lv-LV"/>
              </w:rPr>
              <w:t xml:space="preserve"> </w:t>
            </w:r>
            <w:r w:rsidRPr="007C7F2F">
              <w:rPr>
                <w:b/>
                <w:bCs/>
                <w:lang w:val="lv-LV"/>
              </w:rPr>
              <w:t>Būtiskuma līmenis koriģējošam un nekoriģējošam notikumam pēc bilances datuma 2024.gada pārskata sagatavošanai:</w:t>
            </w:r>
          </w:p>
        </w:tc>
      </w:tr>
      <w:tr w14:paraId="08AF0711" w14:textId="77777777" w:rsidTr="002D0269">
        <w:tblPrEx>
          <w:tblW w:w="9175" w:type="dxa"/>
          <w:tblInd w:w="142" w:type="dxa"/>
          <w:tblLayout w:type="fixed"/>
          <w:tblLook w:val="04A0"/>
        </w:tblPrEx>
        <w:trPr>
          <w:gridAfter w:val="1"/>
          <w:wAfter w:w="103" w:type="dxa"/>
          <w:trHeight w:val="387"/>
        </w:trPr>
        <w:tc>
          <w:tcPr>
            <w:tcW w:w="1249" w:type="dxa"/>
            <w:gridSpan w:val="2"/>
            <w:tcBorders>
              <w:top w:val="single" w:sz="4" w:space="0" w:color="auto"/>
              <w:left w:val="single" w:sz="4" w:space="0" w:color="auto"/>
              <w:bottom w:val="single" w:sz="4" w:space="0" w:color="auto"/>
              <w:right w:val="single" w:sz="4" w:space="0" w:color="auto"/>
            </w:tcBorders>
          </w:tcPr>
          <w:p w:rsidR="000B15E4" w:rsidRPr="002D0269" w:rsidP="000B15E4" w14:paraId="64D3B428" w14:textId="77777777">
            <w:pPr>
              <w:rPr>
                <w:bCs/>
                <w:sz w:val="18"/>
                <w:szCs w:val="18"/>
              </w:rPr>
            </w:pPr>
          </w:p>
        </w:tc>
        <w:tc>
          <w:tcPr>
            <w:tcW w:w="2153" w:type="dxa"/>
            <w:tcBorders>
              <w:top w:val="single" w:sz="4" w:space="0" w:color="auto"/>
              <w:left w:val="single" w:sz="4" w:space="0" w:color="auto"/>
              <w:bottom w:val="single" w:sz="4" w:space="0" w:color="auto"/>
              <w:right w:val="single" w:sz="4" w:space="0" w:color="auto"/>
            </w:tcBorders>
            <w:hideMark/>
          </w:tcPr>
          <w:p w:rsidR="000B15E4" w:rsidRPr="002D0269" w:rsidP="000B15E4" w14:paraId="28B346DD" w14:textId="4A123993">
            <w:pPr>
              <w:rPr>
                <w:bCs/>
                <w:sz w:val="18"/>
                <w:szCs w:val="18"/>
              </w:rPr>
            </w:pPr>
            <w:r w:rsidRPr="002D0269">
              <w:rPr>
                <w:rFonts w:eastAsiaTheme="minorHAnsi"/>
                <w:sz w:val="18"/>
                <w:szCs w:val="18"/>
                <w:lang w:eastAsia="en-US"/>
              </w:rPr>
              <w:t>Iestāde</w:t>
            </w:r>
          </w:p>
        </w:tc>
        <w:tc>
          <w:tcPr>
            <w:tcW w:w="1527" w:type="dxa"/>
            <w:tcBorders>
              <w:top w:val="single" w:sz="4" w:space="0" w:color="auto"/>
              <w:left w:val="single" w:sz="4" w:space="0" w:color="auto"/>
              <w:bottom w:val="single" w:sz="4" w:space="0" w:color="auto"/>
              <w:right w:val="single" w:sz="4" w:space="0" w:color="auto"/>
            </w:tcBorders>
            <w:hideMark/>
          </w:tcPr>
          <w:p w:rsidR="000B15E4" w:rsidRPr="002D0269" w:rsidP="000B15E4" w14:paraId="00B24815" w14:textId="45C84E80">
            <w:pPr>
              <w:rPr>
                <w:bCs/>
                <w:sz w:val="18"/>
                <w:szCs w:val="18"/>
              </w:rPr>
            </w:pPr>
            <w:r w:rsidRPr="002D0269">
              <w:rPr>
                <w:rFonts w:eastAsiaTheme="minorHAnsi"/>
                <w:sz w:val="18"/>
                <w:szCs w:val="18"/>
                <w:lang w:eastAsia="en-US"/>
              </w:rPr>
              <w:t>periods</w:t>
            </w:r>
          </w:p>
        </w:tc>
        <w:tc>
          <w:tcPr>
            <w:tcW w:w="1804" w:type="dxa"/>
            <w:tcBorders>
              <w:top w:val="single" w:sz="4" w:space="0" w:color="auto"/>
              <w:left w:val="single" w:sz="4" w:space="0" w:color="auto"/>
              <w:bottom w:val="single" w:sz="4" w:space="0" w:color="auto"/>
              <w:right w:val="single" w:sz="4" w:space="0" w:color="auto"/>
            </w:tcBorders>
            <w:hideMark/>
          </w:tcPr>
          <w:p w:rsidR="000B15E4" w:rsidRPr="002D0269" w:rsidP="000B15E4" w14:paraId="5283FF28" w14:textId="13F06AFB">
            <w:pPr>
              <w:rPr>
                <w:bCs/>
                <w:sz w:val="18"/>
                <w:szCs w:val="18"/>
              </w:rPr>
            </w:pPr>
            <w:r w:rsidRPr="002D0269">
              <w:rPr>
                <w:rFonts w:eastAsiaTheme="minorHAnsi"/>
                <w:sz w:val="18"/>
                <w:szCs w:val="18"/>
                <w:lang w:eastAsia="en-US"/>
              </w:rPr>
              <w:t>Reģ.nr.</w:t>
            </w:r>
          </w:p>
        </w:tc>
        <w:tc>
          <w:tcPr>
            <w:tcW w:w="2339" w:type="dxa"/>
            <w:tcBorders>
              <w:top w:val="single" w:sz="4" w:space="0" w:color="auto"/>
              <w:left w:val="single" w:sz="4" w:space="0" w:color="auto"/>
              <w:bottom w:val="single" w:sz="4" w:space="0" w:color="auto"/>
              <w:right w:val="single" w:sz="4" w:space="0" w:color="auto"/>
            </w:tcBorders>
            <w:hideMark/>
          </w:tcPr>
          <w:p w:rsidR="000B15E4" w:rsidRPr="002D0269" w:rsidP="000B15E4" w14:paraId="6BF3F29B" w14:textId="0944D463">
            <w:pPr>
              <w:rPr>
                <w:bCs/>
                <w:sz w:val="18"/>
                <w:szCs w:val="18"/>
              </w:rPr>
            </w:pPr>
            <w:r w:rsidRPr="002D0269">
              <w:rPr>
                <w:color w:val="000000"/>
                <w:sz w:val="18"/>
                <w:szCs w:val="18"/>
              </w:rPr>
              <w:t>Būtiskuma līmenis, &gt; =EUR</w:t>
            </w:r>
          </w:p>
        </w:tc>
      </w:tr>
      <w:tr w14:paraId="5CCE4825" w14:textId="77777777" w:rsidTr="002D0269">
        <w:tblPrEx>
          <w:tblW w:w="9175" w:type="dxa"/>
          <w:tblInd w:w="142" w:type="dxa"/>
          <w:tblLayout w:type="fixed"/>
          <w:tblLook w:val="04A0"/>
        </w:tblPrEx>
        <w:trPr>
          <w:gridAfter w:val="1"/>
          <w:wAfter w:w="103" w:type="dxa"/>
          <w:trHeight w:val="626"/>
        </w:trPr>
        <w:tc>
          <w:tcPr>
            <w:tcW w:w="1249" w:type="dxa"/>
            <w:gridSpan w:val="2"/>
            <w:tcBorders>
              <w:top w:val="single" w:sz="4" w:space="0" w:color="auto"/>
              <w:left w:val="single" w:sz="4" w:space="0" w:color="auto"/>
              <w:bottom w:val="single" w:sz="4" w:space="0" w:color="auto"/>
              <w:right w:val="single" w:sz="4" w:space="0" w:color="auto"/>
            </w:tcBorders>
          </w:tcPr>
          <w:p w:rsidR="002D0269" w:rsidRPr="002D0269" w:rsidP="002D0269" w14:paraId="3089B338" w14:textId="6B64F94B">
            <w:pPr>
              <w:rPr>
                <w:sz w:val="18"/>
                <w:szCs w:val="18"/>
              </w:rPr>
            </w:pPr>
            <w:r w:rsidRPr="002D0269">
              <w:rPr>
                <w:rFonts w:eastAsiaTheme="minorHAnsi"/>
                <w:sz w:val="18"/>
                <w:szCs w:val="18"/>
                <w:lang w:eastAsia="en-US"/>
              </w:rPr>
              <w:t>2024/2025</w:t>
            </w:r>
          </w:p>
        </w:tc>
        <w:tc>
          <w:tcPr>
            <w:tcW w:w="2153" w:type="dxa"/>
            <w:tcBorders>
              <w:top w:val="single" w:sz="4" w:space="0" w:color="auto"/>
              <w:left w:val="single" w:sz="4" w:space="0" w:color="auto"/>
              <w:bottom w:val="single" w:sz="4" w:space="0" w:color="auto"/>
              <w:right w:val="single" w:sz="4" w:space="0" w:color="auto"/>
            </w:tcBorders>
          </w:tcPr>
          <w:p w:rsidR="002D0269" w:rsidRPr="002D0269" w:rsidP="002D0269" w14:paraId="2DAD2CD5" w14:textId="1BBCA6C3">
            <w:pPr>
              <w:rPr>
                <w:b/>
                <w:sz w:val="18"/>
                <w:szCs w:val="18"/>
              </w:rPr>
            </w:pPr>
            <w:r w:rsidRPr="002D0269">
              <w:rPr>
                <w:sz w:val="18"/>
                <w:szCs w:val="18"/>
              </w:rPr>
              <w:t>Ādažu novads</w:t>
            </w:r>
          </w:p>
        </w:tc>
        <w:tc>
          <w:tcPr>
            <w:tcW w:w="1527" w:type="dxa"/>
            <w:tcBorders>
              <w:top w:val="single" w:sz="4" w:space="0" w:color="auto"/>
              <w:left w:val="single" w:sz="4" w:space="0" w:color="auto"/>
              <w:bottom w:val="single" w:sz="4" w:space="0" w:color="auto"/>
              <w:right w:val="single" w:sz="4" w:space="0" w:color="auto"/>
            </w:tcBorders>
          </w:tcPr>
          <w:p w:rsidR="002D0269" w:rsidRPr="002D0269" w:rsidP="002D0269" w14:paraId="679DB7C6" w14:textId="39D46A37">
            <w:pPr>
              <w:rPr>
                <w:b/>
                <w:sz w:val="18"/>
                <w:szCs w:val="18"/>
              </w:rPr>
            </w:pPr>
            <w:r w:rsidRPr="002D0269">
              <w:rPr>
                <w:color w:val="000000"/>
                <w:sz w:val="18"/>
                <w:szCs w:val="18"/>
              </w:rPr>
              <w:t>01.0</w:t>
            </w:r>
            <w:r w:rsidR="007D1FE6">
              <w:rPr>
                <w:color w:val="000000"/>
                <w:sz w:val="18"/>
                <w:szCs w:val="18"/>
              </w:rPr>
              <w:t>1</w:t>
            </w:r>
            <w:r w:rsidRPr="002D0269">
              <w:rPr>
                <w:color w:val="000000"/>
                <w:sz w:val="18"/>
                <w:szCs w:val="18"/>
              </w:rPr>
              <w:t>.2024.-30.04.2025.</w:t>
            </w:r>
          </w:p>
        </w:tc>
        <w:tc>
          <w:tcPr>
            <w:tcW w:w="1804" w:type="dxa"/>
            <w:tcBorders>
              <w:top w:val="single" w:sz="4" w:space="0" w:color="auto"/>
              <w:left w:val="single" w:sz="4" w:space="0" w:color="auto"/>
              <w:bottom w:val="single" w:sz="4" w:space="0" w:color="auto"/>
              <w:right w:val="single" w:sz="4" w:space="0" w:color="auto"/>
            </w:tcBorders>
          </w:tcPr>
          <w:p w:rsidR="002D0269" w:rsidRPr="002D0269" w:rsidP="002D0269" w14:paraId="28A02350" w14:textId="1CA2E919">
            <w:pPr>
              <w:rPr>
                <w:b/>
                <w:sz w:val="18"/>
                <w:szCs w:val="18"/>
              </w:rPr>
            </w:pPr>
            <w:r w:rsidRPr="002D0269">
              <w:rPr>
                <w:sz w:val="18"/>
                <w:szCs w:val="18"/>
              </w:rPr>
              <w:t>90000048472</w:t>
            </w:r>
          </w:p>
        </w:tc>
        <w:tc>
          <w:tcPr>
            <w:tcW w:w="2339" w:type="dxa"/>
            <w:tcBorders>
              <w:top w:val="single" w:sz="4" w:space="0" w:color="auto"/>
              <w:left w:val="single" w:sz="4" w:space="0" w:color="auto"/>
              <w:bottom w:val="single" w:sz="4" w:space="0" w:color="auto"/>
              <w:right w:val="single" w:sz="4" w:space="0" w:color="auto"/>
            </w:tcBorders>
          </w:tcPr>
          <w:p w:rsidR="002D0269" w:rsidRPr="002D0269" w:rsidP="002D0269" w14:paraId="22777B9F" w14:textId="523581C0">
            <w:pPr>
              <w:pStyle w:val="Default"/>
              <w:jc w:val="both"/>
              <w:rPr>
                <w:b/>
                <w:bCs/>
                <w:sz w:val="18"/>
                <w:szCs w:val="18"/>
                <w:lang w:val="lv-LV"/>
              </w:rPr>
            </w:pPr>
            <w:r>
              <w:rPr>
                <w:sz w:val="18"/>
                <w:szCs w:val="18"/>
              </w:rPr>
              <w:t>200</w:t>
            </w:r>
            <w:r w:rsidRPr="002D0269">
              <w:rPr>
                <w:sz w:val="18"/>
                <w:szCs w:val="18"/>
              </w:rPr>
              <w:t xml:space="preserve"> 000</w:t>
            </w:r>
          </w:p>
        </w:tc>
      </w:tr>
      <w:tr w14:paraId="0BB1C7AB" w14:textId="77777777" w:rsidTr="002D0269">
        <w:tblPrEx>
          <w:tblW w:w="9175" w:type="dxa"/>
          <w:tblInd w:w="142" w:type="dxa"/>
          <w:tblLayout w:type="fixed"/>
          <w:tblLook w:val="04A0"/>
        </w:tblPrEx>
        <w:trPr>
          <w:gridAfter w:val="1"/>
          <w:wAfter w:w="103" w:type="dxa"/>
          <w:trHeight w:val="573"/>
        </w:trPr>
        <w:tc>
          <w:tcPr>
            <w:tcW w:w="1249" w:type="dxa"/>
            <w:gridSpan w:val="2"/>
            <w:tcBorders>
              <w:top w:val="single" w:sz="4" w:space="0" w:color="auto"/>
              <w:left w:val="single" w:sz="4" w:space="0" w:color="auto"/>
              <w:bottom w:val="single" w:sz="4" w:space="0" w:color="auto"/>
              <w:right w:val="single" w:sz="4" w:space="0" w:color="auto"/>
            </w:tcBorders>
          </w:tcPr>
          <w:p w:rsidR="000B15E4" w:rsidRPr="002D0269" w:rsidP="000B15E4" w14:paraId="6E6E3658" w14:textId="01CC903E">
            <w:pPr>
              <w:rPr>
                <w:sz w:val="18"/>
                <w:szCs w:val="18"/>
              </w:rPr>
            </w:pPr>
            <w:r w:rsidRPr="002D0269">
              <w:rPr>
                <w:sz w:val="18"/>
                <w:szCs w:val="18"/>
              </w:rPr>
              <w:t>2024/2025</w:t>
            </w:r>
          </w:p>
        </w:tc>
        <w:tc>
          <w:tcPr>
            <w:tcW w:w="2153" w:type="dxa"/>
            <w:tcBorders>
              <w:top w:val="single" w:sz="4" w:space="0" w:color="auto"/>
              <w:left w:val="single" w:sz="4" w:space="0" w:color="auto"/>
              <w:bottom w:val="single" w:sz="4" w:space="0" w:color="auto"/>
              <w:right w:val="single" w:sz="4" w:space="0" w:color="auto"/>
            </w:tcBorders>
          </w:tcPr>
          <w:p w:rsidR="000B15E4" w:rsidRPr="002D0269" w:rsidP="000B15E4" w14:paraId="1527C183" w14:textId="1FC64430">
            <w:pPr>
              <w:rPr>
                <w:sz w:val="18"/>
                <w:szCs w:val="18"/>
              </w:rPr>
            </w:pPr>
            <w:r w:rsidRPr="002D0269">
              <w:rPr>
                <w:sz w:val="18"/>
                <w:szCs w:val="18"/>
              </w:rPr>
              <w:t>Ādažu novada pašvaldība</w:t>
            </w:r>
          </w:p>
        </w:tc>
        <w:tc>
          <w:tcPr>
            <w:tcW w:w="1527" w:type="dxa"/>
            <w:tcBorders>
              <w:top w:val="single" w:sz="4" w:space="0" w:color="auto"/>
              <w:left w:val="single" w:sz="4" w:space="0" w:color="auto"/>
              <w:bottom w:val="single" w:sz="4" w:space="0" w:color="auto"/>
              <w:right w:val="single" w:sz="4" w:space="0" w:color="auto"/>
            </w:tcBorders>
          </w:tcPr>
          <w:p w:rsidR="000B15E4" w:rsidRPr="002D0269" w:rsidP="000B15E4" w14:paraId="313775AA" w14:textId="1432989E">
            <w:pPr>
              <w:pStyle w:val="Default"/>
              <w:rPr>
                <w:sz w:val="18"/>
                <w:szCs w:val="18"/>
                <w:lang w:val="lv-LV"/>
              </w:rPr>
            </w:pPr>
            <w:r w:rsidRPr="002D0269">
              <w:rPr>
                <w:sz w:val="18"/>
                <w:szCs w:val="18"/>
                <w:lang w:val="lv-LV"/>
              </w:rPr>
              <w:t>01.01.2024.-30.04.2025.</w:t>
            </w:r>
          </w:p>
        </w:tc>
        <w:tc>
          <w:tcPr>
            <w:tcW w:w="1804" w:type="dxa"/>
            <w:tcBorders>
              <w:top w:val="single" w:sz="4" w:space="0" w:color="auto"/>
              <w:left w:val="single" w:sz="4" w:space="0" w:color="auto"/>
              <w:bottom w:val="single" w:sz="4" w:space="0" w:color="auto"/>
              <w:right w:val="single" w:sz="4" w:space="0" w:color="auto"/>
            </w:tcBorders>
          </w:tcPr>
          <w:p w:rsidR="000B15E4" w:rsidRPr="002D0269" w:rsidP="000B15E4" w14:paraId="37A9C1A4" w14:textId="0A68E002">
            <w:pPr>
              <w:pStyle w:val="Default"/>
              <w:rPr>
                <w:sz w:val="18"/>
                <w:szCs w:val="18"/>
                <w:lang w:val="lv-LV"/>
              </w:rPr>
            </w:pPr>
            <w:r w:rsidRPr="002D0269">
              <w:rPr>
                <w:sz w:val="18"/>
                <w:szCs w:val="18"/>
                <w:lang w:val="lv-LV"/>
              </w:rPr>
              <w:t>90000</w:t>
            </w:r>
            <w:r w:rsidR="007D1FE6">
              <w:rPr>
                <w:sz w:val="18"/>
                <w:szCs w:val="18"/>
                <w:lang w:val="lv-LV"/>
              </w:rPr>
              <w:t>0</w:t>
            </w:r>
            <w:r w:rsidRPr="002D0269">
              <w:rPr>
                <w:sz w:val="18"/>
                <w:szCs w:val="18"/>
                <w:lang w:val="lv-LV"/>
              </w:rPr>
              <w:t>48472</w:t>
            </w:r>
          </w:p>
        </w:tc>
        <w:tc>
          <w:tcPr>
            <w:tcW w:w="2339" w:type="dxa"/>
            <w:tcBorders>
              <w:top w:val="single" w:sz="4" w:space="0" w:color="auto"/>
              <w:left w:val="single" w:sz="4" w:space="0" w:color="auto"/>
              <w:bottom w:val="single" w:sz="4" w:space="0" w:color="auto"/>
              <w:right w:val="single" w:sz="4" w:space="0" w:color="auto"/>
            </w:tcBorders>
          </w:tcPr>
          <w:p w:rsidR="000B15E4" w:rsidRPr="002D0269" w:rsidP="000B15E4" w14:paraId="067683FA" w14:textId="7F622F55">
            <w:pPr>
              <w:pStyle w:val="Default"/>
              <w:rPr>
                <w:sz w:val="18"/>
                <w:szCs w:val="18"/>
                <w:lang w:val="lv-LV"/>
              </w:rPr>
            </w:pPr>
            <w:r w:rsidRPr="002D0269">
              <w:rPr>
                <w:sz w:val="18"/>
                <w:szCs w:val="18"/>
                <w:lang w:val="lv-LV"/>
              </w:rPr>
              <w:t>25 000</w:t>
            </w:r>
          </w:p>
        </w:tc>
      </w:tr>
      <w:tr w14:paraId="3ADEFC0B" w14:textId="77777777" w:rsidTr="002D0269">
        <w:tblPrEx>
          <w:tblW w:w="9175" w:type="dxa"/>
          <w:tblInd w:w="142" w:type="dxa"/>
          <w:tblLayout w:type="fixed"/>
          <w:tblLook w:val="04A0"/>
        </w:tblPrEx>
        <w:trPr>
          <w:gridAfter w:val="1"/>
          <w:wAfter w:w="103" w:type="dxa"/>
          <w:trHeight w:val="694"/>
        </w:trPr>
        <w:tc>
          <w:tcPr>
            <w:tcW w:w="1249" w:type="dxa"/>
            <w:gridSpan w:val="2"/>
            <w:tcBorders>
              <w:top w:val="single" w:sz="4" w:space="0" w:color="auto"/>
              <w:left w:val="single" w:sz="4" w:space="0" w:color="auto"/>
              <w:bottom w:val="single" w:sz="4" w:space="0" w:color="auto"/>
              <w:right w:val="single" w:sz="4" w:space="0" w:color="auto"/>
            </w:tcBorders>
            <w:hideMark/>
          </w:tcPr>
          <w:p w:rsidR="000B15E4" w:rsidRPr="002D0269" w:rsidP="000B15E4" w14:paraId="3DAEDA3D" w14:textId="19436340">
            <w:pPr>
              <w:rPr>
                <w:sz w:val="18"/>
                <w:szCs w:val="18"/>
              </w:rPr>
            </w:pPr>
            <w:r w:rsidRPr="002D0269">
              <w:rPr>
                <w:sz w:val="18"/>
                <w:szCs w:val="18"/>
              </w:rPr>
              <w:t>2024/2025</w:t>
            </w:r>
          </w:p>
        </w:tc>
        <w:tc>
          <w:tcPr>
            <w:tcW w:w="2153" w:type="dxa"/>
            <w:tcBorders>
              <w:top w:val="single" w:sz="4" w:space="0" w:color="auto"/>
              <w:left w:val="single" w:sz="4" w:space="0" w:color="auto"/>
              <w:bottom w:val="single" w:sz="4" w:space="0" w:color="auto"/>
              <w:right w:val="single" w:sz="4" w:space="0" w:color="auto"/>
            </w:tcBorders>
            <w:hideMark/>
          </w:tcPr>
          <w:p w:rsidR="000B15E4" w:rsidRPr="002D0269" w:rsidP="000B15E4" w14:paraId="77F71F70" w14:textId="3476CBA8">
            <w:pPr>
              <w:rPr>
                <w:sz w:val="18"/>
                <w:szCs w:val="18"/>
              </w:rPr>
            </w:pPr>
            <w:r w:rsidRPr="002D0269">
              <w:rPr>
                <w:sz w:val="18"/>
                <w:szCs w:val="18"/>
              </w:rPr>
              <w:t>"Carnikavas Komunālserviss" pašvaldības aģentūra</w:t>
            </w:r>
          </w:p>
        </w:tc>
        <w:tc>
          <w:tcPr>
            <w:tcW w:w="1527" w:type="dxa"/>
            <w:tcBorders>
              <w:top w:val="single" w:sz="4" w:space="0" w:color="auto"/>
              <w:left w:val="single" w:sz="4" w:space="0" w:color="auto"/>
              <w:bottom w:val="single" w:sz="4" w:space="0" w:color="auto"/>
              <w:right w:val="single" w:sz="4" w:space="0" w:color="auto"/>
            </w:tcBorders>
            <w:hideMark/>
          </w:tcPr>
          <w:p w:rsidR="000B15E4" w:rsidRPr="002D0269" w:rsidP="000B15E4" w14:paraId="5E7DFE40" w14:textId="761B1849">
            <w:pPr>
              <w:pStyle w:val="Default"/>
              <w:rPr>
                <w:sz w:val="18"/>
                <w:szCs w:val="18"/>
                <w:lang w:val="lv-LV"/>
              </w:rPr>
            </w:pPr>
            <w:r w:rsidRPr="002D0269">
              <w:rPr>
                <w:sz w:val="18"/>
                <w:szCs w:val="18"/>
                <w:lang w:val="lv-LV"/>
              </w:rPr>
              <w:t>01.01.2024.-30.04.2025.</w:t>
            </w:r>
          </w:p>
        </w:tc>
        <w:tc>
          <w:tcPr>
            <w:tcW w:w="1804" w:type="dxa"/>
            <w:tcBorders>
              <w:top w:val="single" w:sz="4" w:space="0" w:color="auto"/>
              <w:left w:val="single" w:sz="4" w:space="0" w:color="auto"/>
              <w:bottom w:val="single" w:sz="4" w:space="0" w:color="auto"/>
              <w:right w:val="single" w:sz="4" w:space="0" w:color="auto"/>
            </w:tcBorders>
            <w:hideMark/>
          </w:tcPr>
          <w:p w:rsidR="000B15E4" w:rsidRPr="002D0269" w:rsidP="000B15E4" w14:paraId="228FD31D" w14:textId="234DA068">
            <w:pPr>
              <w:pStyle w:val="Default"/>
              <w:rPr>
                <w:sz w:val="18"/>
                <w:szCs w:val="18"/>
                <w:lang w:val="lv-LV"/>
              </w:rPr>
            </w:pPr>
            <w:r w:rsidRPr="002D0269">
              <w:rPr>
                <w:sz w:val="18"/>
                <w:szCs w:val="18"/>
                <w:lang w:val="lv-LV"/>
              </w:rPr>
              <w:t>90001691745</w:t>
            </w:r>
          </w:p>
        </w:tc>
        <w:tc>
          <w:tcPr>
            <w:tcW w:w="2339" w:type="dxa"/>
            <w:tcBorders>
              <w:top w:val="single" w:sz="4" w:space="0" w:color="auto"/>
              <w:left w:val="single" w:sz="4" w:space="0" w:color="auto"/>
              <w:bottom w:val="single" w:sz="4" w:space="0" w:color="auto"/>
              <w:right w:val="single" w:sz="4" w:space="0" w:color="auto"/>
            </w:tcBorders>
            <w:hideMark/>
          </w:tcPr>
          <w:p w:rsidR="000B15E4" w:rsidRPr="002D0269" w:rsidP="000B15E4" w14:paraId="02A2CEAA" w14:textId="103CE405">
            <w:pPr>
              <w:pStyle w:val="Default"/>
              <w:rPr>
                <w:sz w:val="18"/>
                <w:szCs w:val="18"/>
                <w:lang w:val="lv-LV"/>
              </w:rPr>
            </w:pPr>
            <w:r w:rsidRPr="002D0269">
              <w:rPr>
                <w:sz w:val="18"/>
                <w:szCs w:val="18"/>
                <w:lang w:val="lv-LV"/>
              </w:rPr>
              <w:t>3 750</w:t>
            </w:r>
          </w:p>
        </w:tc>
      </w:tr>
    </w:tbl>
    <w:p w:rsidR="00C603DF" w:rsidRPr="00C603DF" w:rsidP="00C603DF" w14:paraId="46F32758" w14:textId="77777777">
      <w:pPr>
        <w:rPr>
          <w:b/>
        </w:rPr>
      </w:pPr>
    </w:p>
    <w:p w:rsidR="00C81F6D" w:rsidRPr="00BD090F" w:rsidP="00C81F6D" w14:paraId="4A690CA8" w14:textId="77777777">
      <w:pPr>
        <w:jc w:val="both"/>
        <w:rPr>
          <w:lang w:eastAsia="en-US"/>
        </w:rPr>
      </w:pPr>
      <w:r w:rsidRPr="00BD090F">
        <w:rPr>
          <w:lang w:eastAsia="en-US"/>
        </w:rPr>
        <w:t xml:space="preserve">Pārskata periodā iestādei nav mainītas grāmatvedības uzskaites aplēses. </w:t>
      </w:r>
    </w:p>
    <w:p w:rsidR="00C81F6D" w:rsidRPr="00BD090F" w:rsidP="00C81F6D" w14:paraId="3B175AEE" w14:textId="77777777">
      <w:pPr>
        <w:jc w:val="both"/>
        <w:rPr>
          <w:lang w:eastAsia="en-US"/>
        </w:rPr>
      </w:pPr>
      <w:r w:rsidRPr="00BD090F">
        <w:rPr>
          <w:lang w:eastAsia="en-US"/>
        </w:rPr>
        <w:t xml:space="preserve">Par iepriekšējo periodu datu korekciju informācija norādīta finanšu pārskata pielikumā. </w:t>
      </w:r>
    </w:p>
    <w:p w:rsidR="00C81F6D" w:rsidRPr="00BD090F" w:rsidP="00C81F6D" w14:paraId="0A082465" w14:textId="77777777">
      <w:pPr>
        <w:jc w:val="both"/>
        <w:rPr>
          <w:lang w:eastAsia="en-US"/>
        </w:rPr>
      </w:pPr>
    </w:p>
    <w:p w:rsidR="00C81F6D" w:rsidRPr="005D0F47" w:rsidP="00662F3C" w14:paraId="7568F88D" w14:textId="00BEB79C">
      <w:pPr>
        <w:pStyle w:val="ListParagraph"/>
        <w:numPr>
          <w:ilvl w:val="1"/>
          <w:numId w:val="4"/>
        </w:numPr>
        <w:ind w:left="426" w:hanging="426"/>
        <w:rPr>
          <w:b/>
        </w:rPr>
      </w:pPr>
      <w:r w:rsidRPr="005D0F47">
        <w:rPr>
          <w:b/>
        </w:rPr>
        <w:t>NOTIKUMI PĒC BILANCES DATUMA</w:t>
      </w:r>
    </w:p>
    <w:p w:rsidR="00506E20" w:rsidRPr="00506E20" w:rsidP="00506E20" w14:paraId="6004AFBD" w14:textId="77777777">
      <w:pPr>
        <w:pStyle w:val="Default"/>
        <w:tabs>
          <w:tab w:val="left" w:pos="0"/>
        </w:tabs>
        <w:spacing w:after="68"/>
        <w:ind w:right="-59"/>
        <w:jc w:val="both"/>
        <w:rPr>
          <w:lang w:val="lv-LV"/>
        </w:rPr>
      </w:pPr>
      <w:r w:rsidRPr="00506E20">
        <w:rPr>
          <w:lang w:val="lv-LV"/>
        </w:rPr>
        <w:t xml:space="preserve">Budžeta iestāde precizē informāciju gada pārskatā līdz gada pārskata apstiprināšanas publiskošanai datumam, ja tā iegūst informāciju par koriģējošiem vai nekoriģējošiem notikumiem pēc bilances datuma. </w:t>
      </w:r>
    </w:p>
    <w:p w:rsidR="00506E20" w:rsidRPr="00506E20" w:rsidP="00506E20" w14:paraId="2ED6CBA4" w14:textId="77777777">
      <w:pPr>
        <w:pStyle w:val="Default"/>
        <w:tabs>
          <w:tab w:val="left" w:pos="0"/>
        </w:tabs>
        <w:spacing w:after="68"/>
        <w:ind w:right="-59"/>
        <w:jc w:val="both"/>
        <w:rPr>
          <w:lang w:val="lv-LV"/>
        </w:rPr>
      </w:pPr>
      <w:r w:rsidRPr="00506E20">
        <w:rPr>
          <w:lang w:val="lv-LV"/>
        </w:rPr>
        <w:t>Notikums pēc bilances datuma – labvēlīgs notikums (piemēram, aktīvu vērtības pieaugums vai saistību summas samazinājums) vai nelabvēlīgs notikums (piemēram, radušās vai paredzamās izmaksas vai zaudējumi, aktīvu vērtības samazinājums vai saistību summas palielināšanās), kas notiek laikposmā starp bilances datumu un datumu, kad gada pārskatu vai konsolidēto gada pārskatu apstiprina publiskošanai.</w:t>
      </w:r>
    </w:p>
    <w:p w:rsidR="00506E20" w:rsidRPr="00506E20" w:rsidP="00506E20" w14:paraId="014F0E3A" w14:textId="77777777">
      <w:pPr>
        <w:pStyle w:val="Default"/>
        <w:tabs>
          <w:tab w:val="left" w:pos="0"/>
        </w:tabs>
        <w:ind w:right="-59"/>
        <w:jc w:val="both"/>
        <w:rPr>
          <w:lang w:val="lv-LV"/>
        </w:rPr>
      </w:pPr>
      <w:r w:rsidRPr="00506E20">
        <w:rPr>
          <w:iCs/>
          <w:u w:val="single"/>
          <w:lang w:val="lv-LV"/>
        </w:rPr>
        <w:t>Koriģējošs notikums</w:t>
      </w:r>
      <w:r w:rsidRPr="00506E20">
        <w:rPr>
          <w:lang w:val="lv-LV"/>
        </w:rPr>
        <w:t xml:space="preserve"> pēc bilances datuma – notikums, kas sniedz pierādījumus par apstākļiem, kas pastāvējuši bilances datumā un attiecas uz pārskata gadu.</w:t>
      </w:r>
    </w:p>
    <w:p w:rsidR="00506E20" w:rsidRPr="00506E20" w:rsidP="00506E20" w14:paraId="50E16AA9" w14:textId="77777777">
      <w:pPr>
        <w:pStyle w:val="Default"/>
        <w:tabs>
          <w:tab w:val="left" w:pos="0"/>
        </w:tabs>
        <w:ind w:right="-59"/>
        <w:jc w:val="both"/>
        <w:rPr>
          <w:lang w:val="lv-LV"/>
        </w:rPr>
      </w:pPr>
      <w:r w:rsidRPr="00506E20">
        <w:rPr>
          <w:iCs/>
          <w:u w:val="single"/>
          <w:lang w:val="lv-LV"/>
        </w:rPr>
        <w:t>Nekoriģējošs notikums</w:t>
      </w:r>
      <w:r w:rsidRPr="00506E20">
        <w:rPr>
          <w:lang w:val="lv-LV"/>
        </w:rPr>
        <w:t xml:space="preserve"> pēc bilances datuma – notikums, kas liecina par apstākļiem, kas radušies pēc bilances datuma, neattiecas uz pārskata gadu, bet nākotnē varētu būtiski ietekmēt iestādes finanšu rādītājus (piemēram, aktīvus, saistības, budžeta izpildes rezultātu);</w:t>
      </w:r>
    </w:p>
    <w:p w:rsidR="00506E20" w:rsidRPr="00506E20" w:rsidP="00506E20" w14:paraId="72C5B9F2" w14:textId="77777777">
      <w:pPr>
        <w:widowControl w:val="0"/>
        <w:tabs>
          <w:tab w:val="left" w:pos="0"/>
          <w:tab w:val="left" w:pos="1040"/>
        </w:tabs>
        <w:autoSpaceDE w:val="0"/>
        <w:autoSpaceDN w:val="0"/>
        <w:adjustRightInd w:val="0"/>
        <w:ind w:right="-59"/>
        <w:rPr>
          <w:lang w:val="lv"/>
        </w:rPr>
      </w:pPr>
      <w:r w:rsidRPr="00506E20">
        <w:rPr>
          <w:lang w:val="lv"/>
        </w:rPr>
        <w:t>Finanšu pārskatā norāda informāciju par nekoriģējošiem notikumiem pēc bilances datuma – to būtību un paredzamajām finansiālajām sekām – vai apraksta, kādēļ nebija iespējams aplēst paredzamās finansiālās sekas.</w:t>
      </w:r>
    </w:p>
    <w:p w:rsidR="00C603DF" w:rsidRPr="00BD090F" w:rsidP="00C81F6D" w14:paraId="587EBCE3" w14:textId="77777777">
      <w:pPr>
        <w:jc w:val="both"/>
        <w:rPr>
          <w:lang w:eastAsia="en-US"/>
        </w:rPr>
      </w:pPr>
    </w:p>
    <w:p w:rsidR="00C81F6D" w:rsidRPr="00506E20" w:rsidP="00662F3C" w14:paraId="6941236E" w14:textId="64D92894">
      <w:pPr>
        <w:pStyle w:val="ListParagraph"/>
        <w:numPr>
          <w:ilvl w:val="0"/>
          <w:numId w:val="4"/>
        </w:numPr>
        <w:ind w:left="426" w:hanging="426"/>
        <w:rPr>
          <w:b/>
        </w:rPr>
      </w:pPr>
      <w:r w:rsidRPr="00506E20">
        <w:rPr>
          <w:b/>
        </w:rPr>
        <w:t>GADA PĀRSKATA SAGATAVOŠANA</w:t>
      </w:r>
    </w:p>
    <w:p w:rsidR="00C81F6D" w:rsidRPr="005F3F6B" w:rsidP="00662F3C" w14:paraId="2A7DA2D7" w14:textId="60EB214B">
      <w:pPr>
        <w:pStyle w:val="ListParagraph"/>
        <w:numPr>
          <w:ilvl w:val="1"/>
          <w:numId w:val="4"/>
        </w:numPr>
        <w:ind w:left="426" w:hanging="426"/>
        <w:rPr>
          <w:b/>
        </w:rPr>
      </w:pPr>
      <w:r w:rsidRPr="005F3F6B">
        <w:rPr>
          <w:b/>
        </w:rPr>
        <w:t>GADA PĀRSKATA STRUKTŪRA</w:t>
      </w:r>
    </w:p>
    <w:p w:rsidR="00C81F6D" w:rsidRPr="00BD090F" w:rsidP="00C81F6D" w14:paraId="30DCDEFC" w14:textId="77777777">
      <w:pPr>
        <w:jc w:val="both"/>
        <w:rPr>
          <w:lang w:eastAsia="en-US"/>
        </w:rPr>
      </w:pPr>
      <w:r>
        <w:rPr>
          <w:lang w:eastAsia="en-US"/>
        </w:rPr>
        <w:t>G</w:t>
      </w:r>
      <w:r w:rsidRPr="00BD090F">
        <w:rPr>
          <w:lang w:eastAsia="en-US"/>
        </w:rPr>
        <w:t xml:space="preserve">ada pārskats kā vienots kopums sastāv no: </w:t>
      </w:r>
    </w:p>
    <w:p w:rsidR="005F3F6B" w:rsidP="00662F3C" w14:paraId="3428AEFD" w14:textId="77777777">
      <w:pPr>
        <w:pStyle w:val="ListParagraph"/>
        <w:numPr>
          <w:ilvl w:val="0"/>
          <w:numId w:val="16"/>
        </w:numPr>
        <w:ind w:left="426" w:hanging="426"/>
        <w:jc w:val="both"/>
      </w:pPr>
      <w:r w:rsidRPr="00BD090F">
        <w:t>vadības ziņojuma,</w:t>
      </w:r>
    </w:p>
    <w:p w:rsidR="005F3F6B" w:rsidP="00662F3C" w14:paraId="6C209CD2" w14:textId="77777777">
      <w:pPr>
        <w:pStyle w:val="ListParagraph"/>
        <w:numPr>
          <w:ilvl w:val="0"/>
          <w:numId w:val="16"/>
        </w:numPr>
        <w:ind w:left="426" w:hanging="426"/>
        <w:jc w:val="both"/>
      </w:pPr>
      <w:r w:rsidRPr="00BD090F">
        <w:t>finanšu pārskata,</w:t>
      </w:r>
    </w:p>
    <w:p w:rsidR="00C81F6D" w:rsidRPr="00BD090F" w:rsidP="00662F3C" w14:paraId="3727B0AF" w14:textId="6E9BDAAA">
      <w:pPr>
        <w:pStyle w:val="ListParagraph"/>
        <w:numPr>
          <w:ilvl w:val="0"/>
          <w:numId w:val="16"/>
        </w:numPr>
        <w:ind w:left="426" w:hanging="426"/>
        <w:jc w:val="both"/>
      </w:pPr>
      <w:r w:rsidRPr="00BD090F">
        <w:t xml:space="preserve">budžeta izpildes pārskata. </w:t>
      </w:r>
    </w:p>
    <w:p w:rsidR="00C81F6D" w:rsidRPr="00BD090F" w:rsidP="00C81F6D" w14:paraId="08B1F0AF" w14:textId="77777777">
      <w:pPr>
        <w:jc w:val="both"/>
        <w:rPr>
          <w:lang w:eastAsia="en-US"/>
        </w:rPr>
      </w:pPr>
      <w:r w:rsidRPr="00BD090F">
        <w:rPr>
          <w:lang w:eastAsia="en-US"/>
        </w:rPr>
        <w:t xml:space="preserve">Finanšu pārskats sastāv no: </w:t>
      </w:r>
    </w:p>
    <w:p w:rsidR="00E24479" w:rsidP="00662F3C" w14:paraId="6BE86A9F" w14:textId="77777777">
      <w:pPr>
        <w:pStyle w:val="ListParagraph"/>
        <w:numPr>
          <w:ilvl w:val="0"/>
          <w:numId w:val="9"/>
        </w:numPr>
        <w:ind w:left="426" w:hanging="426"/>
        <w:jc w:val="both"/>
      </w:pPr>
      <w:r w:rsidRPr="00BD090F">
        <w:t>pārskata par finansiālo stāvokli (bilance);</w:t>
      </w:r>
    </w:p>
    <w:p w:rsidR="00E24479" w:rsidP="00662F3C" w14:paraId="4AF4A1D7" w14:textId="77777777">
      <w:pPr>
        <w:pStyle w:val="ListParagraph"/>
        <w:numPr>
          <w:ilvl w:val="0"/>
          <w:numId w:val="9"/>
        </w:numPr>
        <w:ind w:left="426" w:hanging="426"/>
        <w:jc w:val="both"/>
      </w:pPr>
      <w:r w:rsidRPr="00BD090F">
        <w:t>pārskata par darbības finansiālajiem rezultātiem;</w:t>
      </w:r>
    </w:p>
    <w:p w:rsidR="00E24479" w:rsidP="00662F3C" w14:paraId="0D6CF002" w14:textId="77777777">
      <w:pPr>
        <w:pStyle w:val="ListParagraph"/>
        <w:numPr>
          <w:ilvl w:val="0"/>
          <w:numId w:val="9"/>
        </w:numPr>
        <w:ind w:left="426" w:hanging="426"/>
        <w:jc w:val="both"/>
      </w:pPr>
      <w:r w:rsidRPr="00BD090F">
        <w:t>pašu kapitāla izmaiņu pārskata;</w:t>
      </w:r>
    </w:p>
    <w:p w:rsidR="00E24479" w:rsidP="00662F3C" w14:paraId="329E5FB8" w14:textId="77777777">
      <w:pPr>
        <w:pStyle w:val="ListParagraph"/>
        <w:numPr>
          <w:ilvl w:val="0"/>
          <w:numId w:val="9"/>
        </w:numPr>
        <w:ind w:left="426" w:hanging="426"/>
        <w:jc w:val="both"/>
      </w:pPr>
      <w:r w:rsidRPr="00BD090F">
        <w:t>naudas plūsmas pārskata;</w:t>
      </w:r>
    </w:p>
    <w:p w:rsidR="00C81F6D" w:rsidRPr="00BD090F" w:rsidP="00662F3C" w14:paraId="2CD99F87" w14:textId="1FF26F23">
      <w:pPr>
        <w:pStyle w:val="ListParagraph"/>
        <w:numPr>
          <w:ilvl w:val="0"/>
          <w:numId w:val="9"/>
        </w:numPr>
        <w:ind w:left="426" w:hanging="426"/>
        <w:jc w:val="both"/>
      </w:pPr>
      <w:r w:rsidRPr="00BD090F">
        <w:t>finanšu pārskata pielikuma.</w:t>
      </w:r>
    </w:p>
    <w:p w:rsidR="00C81F6D" w:rsidRPr="00BD090F" w:rsidP="00C81F6D" w14:paraId="33C9D6FC" w14:textId="77777777">
      <w:pPr>
        <w:jc w:val="both"/>
        <w:rPr>
          <w:lang w:eastAsia="en-US"/>
        </w:rPr>
      </w:pPr>
      <w:r>
        <w:rPr>
          <w:lang w:eastAsia="en-US"/>
        </w:rPr>
        <w:t>G</w:t>
      </w:r>
      <w:r w:rsidRPr="00BD090F">
        <w:rPr>
          <w:lang w:eastAsia="en-US"/>
        </w:rPr>
        <w:t xml:space="preserve">ada pārskatā norāda tās piezīmes numuru, kurā sniegts bilances posteņa skaidrojums. </w:t>
      </w:r>
    </w:p>
    <w:p w:rsidR="00C81F6D" w:rsidRPr="00BD090F" w:rsidP="00C81F6D" w14:paraId="61494C53" w14:textId="77777777">
      <w:pPr>
        <w:jc w:val="both"/>
        <w:rPr>
          <w:lang w:eastAsia="en-US"/>
        </w:rPr>
      </w:pPr>
      <w:r w:rsidRPr="00BD090F">
        <w:rPr>
          <w:lang w:eastAsia="en-US"/>
        </w:rPr>
        <w:t xml:space="preserve">Ja finanšu pārskata posteņu skaidrojums aptver vairāku pārskatu posteņus, pārskatā norāda visaptverošās piezīmes numuru. </w:t>
      </w:r>
    </w:p>
    <w:p w:rsidR="00C81F6D" w:rsidRPr="00BD090F" w:rsidP="00C81F6D" w14:paraId="5401F0A1" w14:textId="77777777">
      <w:pPr>
        <w:jc w:val="both"/>
        <w:rPr>
          <w:lang w:eastAsia="en-US"/>
        </w:rPr>
      </w:pPr>
    </w:p>
    <w:p w:rsidR="00C81F6D" w:rsidRPr="00B846EA" w:rsidP="00662F3C" w14:paraId="69794094" w14:textId="4E0079E2">
      <w:pPr>
        <w:pStyle w:val="ListParagraph"/>
        <w:numPr>
          <w:ilvl w:val="1"/>
          <w:numId w:val="4"/>
        </w:numPr>
        <w:ind w:left="426" w:hanging="426"/>
        <w:rPr>
          <w:b/>
        </w:rPr>
      </w:pPr>
      <w:r w:rsidRPr="00B846EA">
        <w:rPr>
          <w:b/>
        </w:rPr>
        <w:t>VADĪBAS ZIŅOJUMS</w:t>
      </w:r>
    </w:p>
    <w:p w:rsidR="00C81F6D" w:rsidRPr="00BD090F" w:rsidP="00C81F6D" w14:paraId="6BAF63C6" w14:textId="77777777">
      <w:pPr>
        <w:jc w:val="both"/>
        <w:rPr>
          <w:lang w:eastAsia="en-US"/>
        </w:rPr>
      </w:pPr>
      <w:r w:rsidRPr="00BD090F">
        <w:rPr>
          <w:lang w:eastAsia="en-US"/>
        </w:rPr>
        <w:t xml:space="preserve">Vadības ziņojumā sniegta informācija par iestādes attīstību (darbību pārskata gadā) un plānoto darbību turpmākajos gados, kā arī informācija par būtiskiem riskiem un neskaidriem apstākļiem, ar kuriem iestāde saskaras. Vadības ziņojumā iestāde sniedz ziņas par: </w:t>
      </w:r>
    </w:p>
    <w:p w:rsidR="00B846EA" w:rsidP="00662F3C" w14:paraId="392FA173" w14:textId="77777777">
      <w:pPr>
        <w:pStyle w:val="ListParagraph"/>
        <w:numPr>
          <w:ilvl w:val="0"/>
          <w:numId w:val="17"/>
        </w:numPr>
        <w:ind w:left="426" w:hanging="426"/>
        <w:jc w:val="both"/>
      </w:pPr>
      <w:r w:rsidRPr="00BD090F">
        <w:t>normatīvajiem aktiem, kas regulē iestādes pamatdarbību;</w:t>
      </w:r>
    </w:p>
    <w:p w:rsidR="00B846EA" w:rsidP="00662F3C" w14:paraId="27278AAC" w14:textId="77777777">
      <w:pPr>
        <w:pStyle w:val="ListParagraph"/>
        <w:numPr>
          <w:ilvl w:val="0"/>
          <w:numId w:val="17"/>
        </w:numPr>
        <w:ind w:left="426" w:hanging="426"/>
        <w:jc w:val="both"/>
      </w:pPr>
      <w:r w:rsidRPr="00BD090F">
        <w:t xml:space="preserve">iestādes galvenajām funkcijām; </w:t>
      </w:r>
    </w:p>
    <w:p w:rsidR="00B846EA" w:rsidP="00662F3C" w14:paraId="568C2736" w14:textId="77777777">
      <w:pPr>
        <w:pStyle w:val="ListParagraph"/>
        <w:numPr>
          <w:ilvl w:val="0"/>
          <w:numId w:val="17"/>
        </w:numPr>
        <w:ind w:left="426" w:hanging="426"/>
        <w:jc w:val="both"/>
      </w:pPr>
      <w:r w:rsidRPr="00BD090F">
        <w:t xml:space="preserve">iestādes darbības laiku gadījumā, ja tas ir ierobežots; </w:t>
      </w:r>
    </w:p>
    <w:p w:rsidR="00B846EA" w:rsidP="00662F3C" w14:paraId="1C01B03C" w14:textId="77777777">
      <w:pPr>
        <w:pStyle w:val="ListParagraph"/>
        <w:numPr>
          <w:ilvl w:val="0"/>
          <w:numId w:val="17"/>
        </w:numPr>
        <w:ind w:left="426" w:hanging="426"/>
        <w:jc w:val="both"/>
      </w:pPr>
      <w:r w:rsidRPr="00BD090F">
        <w:t xml:space="preserve">galvenajiem notikumiem, kas ietekmējuši iestādes darbību pārskata gadā; </w:t>
      </w:r>
    </w:p>
    <w:p w:rsidR="00B846EA" w:rsidP="00662F3C" w14:paraId="1D38A0F5" w14:textId="77777777">
      <w:pPr>
        <w:pStyle w:val="ListParagraph"/>
        <w:numPr>
          <w:ilvl w:val="0"/>
          <w:numId w:val="17"/>
        </w:numPr>
        <w:ind w:left="426" w:hanging="426"/>
        <w:jc w:val="both"/>
      </w:pPr>
      <w:r w:rsidRPr="00BD090F">
        <w:t xml:space="preserve">būtiskām pārmaiņām iestādes darbībā; </w:t>
      </w:r>
    </w:p>
    <w:p w:rsidR="00B846EA" w:rsidP="00662F3C" w14:paraId="7F70943F" w14:textId="77777777">
      <w:pPr>
        <w:pStyle w:val="ListParagraph"/>
        <w:numPr>
          <w:ilvl w:val="0"/>
          <w:numId w:val="17"/>
        </w:numPr>
        <w:ind w:left="426" w:hanging="426"/>
        <w:jc w:val="both"/>
      </w:pPr>
      <w:r w:rsidRPr="00BD090F">
        <w:t xml:space="preserve">paredzamiem notikumiem, kas varētu būtiski ietekmēt iestādes darbību nākotnē; </w:t>
      </w:r>
    </w:p>
    <w:p w:rsidR="00B846EA" w:rsidP="00662F3C" w14:paraId="403E239C" w14:textId="77777777">
      <w:pPr>
        <w:pStyle w:val="ListParagraph"/>
        <w:numPr>
          <w:ilvl w:val="0"/>
          <w:numId w:val="17"/>
        </w:numPr>
        <w:ind w:left="426" w:hanging="426"/>
        <w:jc w:val="both"/>
      </w:pPr>
      <w:r w:rsidRPr="00BD090F">
        <w:t xml:space="preserve">būtiskiem riskiem un neskaidriem apstākļiem, ar kuriem iestāde saskaras; </w:t>
      </w:r>
    </w:p>
    <w:p w:rsidR="00B846EA" w:rsidP="00662F3C" w14:paraId="2ED73E4C" w14:textId="77777777">
      <w:pPr>
        <w:pStyle w:val="ListParagraph"/>
        <w:numPr>
          <w:ilvl w:val="0"/>
          <w:numId w:val="17"/>
        </w:numPr>
        <w:ind w:left="426" w:hanging="426"/>
        <w:jc w:val="both"/>
      </w:pPr>
      <w:r w:rsidRPr="00BD090F">
        <w:t xml:space="preserve">pētniecības un attīstības darbiem; </w:t>
      </w:r>
    </w:p>
    <w:p w:rsidR="00B846EA" w:rsidP="00662F3C" w14:paraId="5C52E6E7" w14:textId="77777777">
      <w:pPr>
        <w:pStyle w:val="ListParagraph"/>
        <w:numPr>
          <w:ilvl w:val="0"/>
          <w:numId w:val="17"/>
        </w:numPr>
        <w:ind w:left="426" w:hanging="426"/>
        <w:jc w:val="both"/>
      </w:pPr>
      <w:r w:rsidRPr="00BD090F">
        <w:t xml:space="preserve">finanšu instrumentu izmantošanu un finanšu risku vadības mērķiem, ja tas ir būtiski iestādes aktīvu, saistību un finansiālā stāvokļa novērtēšanai; </w:t>
      </w:r>
    </w:p>
    <w:p w:rsidR="00C81F6D" w:rsidRPr="00BD090F" w:rsidP="00662F3C" w14:paraId="7A6DDF23" w14:textId="60FCC65E">
      <w:pPr>
        <w:pStyle w:val="ListParagraph"/>
        <w:numPr>
          <w:ilvl w:val="0"/>
          <w:numId w:val="17"/>
        </w:numPr>
        <w:ind w:left="426" w:hanging="426"/>
        <w:jc w:val="both"/>
      </w:pPr>
      <w:r w:rsidRPr="00BD090F">
        <w:t>atsauces uz citiem publiski pieejamiem dokumentiem par iestādes darbību pārskata gadā.</w:t>
      </w:r>
    </w:p>
    <w:p w:rsidR="00C81F6D" w:rsidRPr="00BD090F" w:rsidP="00C81F6D" w14:paraId="64164596" w14:textId="77777777">
      <w:pPr>
        <w:jc w:val="both"/>
        <w:rPr>
          <w:lang w:eastAsia="en-US"/>
        </w:rPr>
      </w:pPr>
    </w:p>
    <w:p w:rsidR="00C81F6D" w:rsidRPr="00B846EA" w:rsidP="00662F3C" w14:paraId="45787FB5" w14:textId="22F76CAD">
      <w:pPr>
        <w:pStyle w:val="ListParagraph"/>
        <w:numPr>
          <w:ilvl w:val="1"/>
          <w:numId w:val="4"/>
        </w:numPr>
        <w:ind w:left="426" w:hanging="426"/>
        <w:rPr>
          <w:b/>
        </w:rPr>
      </w:pPr>
      <w:r w:rsidRPr="00B846EA">
        <w:rPr>
          <w:b/>
        </w:rPr>
        <w:t>FINANŠU PĀRSKATS</w:t>
      </w:r>
    </w:p>
    <w:p w:rsidR="00C81F6D" w:rsidRPr="00BD090F" w:rsidP="00B846EA" w14:paraId="28687721" w14:textId="77777777">
      <w:pPr>
        <w:rPr>
          <w:b/>
          <w:lang w:eastAsia="en-US"/>
        </w:rPr>
      </w:pPr>
      <w:r w:rsidRPr="00BD090F">
        <w:rPr>
          <w:b/>
          <w:lang w:eastAsia="en-US"/>
        </w:rPr>
        <w:t>3.3.1. Pārskats par finansiālo stāvokli (Bilance) - Veidlapa Nr.1</w:t>
      </w:r>
    </w:p>
    <w:p w:rsidR="00C81F6D" w:rsidRPr="00BD090F" w:rsidP="00C81F6D" w14:paraId="4AAEE5A2" w14:textId="77777777">
      <w:pPr>
        <w:jc w:val="both"/>
        <w:rPr>
          <w:lang w:eastAsia="en-US"/>
        </w:rPr>
      </w:pPr>
      <w:r w:rsidRPr="00BD090F">
        <w:rPr>
          <w:lang w:eastAsia="en-US"/>
        </w:rPr>
        <w:t xml:space="preserve">Bilance ir pārskats, kas noteiktā datumā parāda iestādes aktīvu, saistību un pašu kapitāla apmēru. </w:t>
      </w:r>
    </w:p>
    <w:p w:rsidR="00C81F6D" w:rsidRPr="00BD090F" w:rsidP="00C81F6D" w14:paraId="32AC5DFB" w14:textId="77777777">
      <w:pPr>
        <w:jc w:val="both"/>
        <w:rPr>
          <w:lang w:eastAsia="en-US"/>
        </w:rPr>
      </w:pPr>
      <w:r w:rsidRPr="00BD090F">
        <w:rPr>
          <w:lang w:eastAsia="en-US"/>
        </w:rPr>
        <w:t>Bilances aktīvā ir sadaļas "Ilgtermiņa ieguldījumi" un "Apgrozāmie līdzekļi", pasīvā – sadaļas "Pašu kapitāls", "Uzkrājumi" un "Saistības".</w:t>
      </w:r>
    </w:p>
    <w:p w:rsidR="00C81F6D" w:rsidRPr="00BD090F" w:rsidP="00C81F6D" w14:paraId="199E2FC4" w14:textId="77777777">
      <w:pPr>
        <w:jc w:val="both"/>
        <w:rPr>
          <w:lang w:eastAsia="en-US"/>
        </w:rPr>
      </w:pPr>
      <w:r w:rsidRPr="00BD090F">
        <w:rPr>
          <w:lang w:eastAsia="en-US"/>
        </w:rPr>
        <w:t>Iestāde pārskatā par finansiālo stāvokli ilgtermiņa ieguldījumus un apgrozāmos līdzekļus, kā arī ilgtermiņa un īstermiņa saistības uzrāda atsevišķi.</w:t>
      </w:r>
    </w:p>
    <w:p w:rsidR="00C81F6D" w:rsidRPr="00BD090F" w:rsidP="00C81F6D" w14:paraId="649B33EA" w14:textId="77777777">
      <w:pPr>
        <w:jc w:val="both"/>
        <w:rPr>
          <w:lang w:eastAsia="en-US"/>
        </w:rPr>
      </w:pPr>
      <w:r w:rsidRPr="00BD090F">
        <w:rPr>
          <w:lang w:eastAsia="en-US"/>
        </w:rPr>
        <w:t>Bilances aktīva kopsumma ir vienāda ar bilances pasīva kopsummu.</w:t>
      </w:r>
    </w:p>
    <w:p w:rsidR="00C81F6D" w:rsidRPr="00BD090F" w:rsidP="00C81F6D" w14:paraId="31237D50" w14:textId="77777777">
      <w:pPr>
        <w:jc w:val="both"/>
        <w:rPr>
          <w:lang w:eastAsia="en-US"/>
        </w:rPr>
      </w:pPr>
      <w:r w:rsidRPr="00BD090F">
        <w:rPr>
          <w:lang w:eastAsia="en-US"/>
        </w:rPr>
        <w:t xml:space="preserve">Nemateriālos ieguldījumus, pamatlīdzekļus un </w:t>
      </w:r>
      <w:r w:rsidRPr="00BD090F">
        <w:rPr>
          <w:lang w:eastAsia="en-US"/>
        </w:rPr>
        <w:t>ieguldījuma īpašumus bilancē norāda atlikušajā vērtībā, ko aprēķina, no sākotnējās vērtības atskaitot nolietojumu (amortizāciju) un vērtības samazinājumu.</w:t>
      </w:r>
    </w:p>
    <w:p w:rsidR="00C81F6D" w:rsidRPr="00BD090F" w:rsidP="00C81F6D" w14:paraId="398B2FB8" w14:textId="77777777">
      <w:pPr>
        <w:jc w:val="both"/>
        <w:rPr>
          <w:lang w:eastAsia="en-US"/>
        </w:rPr>
      </w:pPr>
      <w:r w:rsidRPr="00BD090F">
        <w:rPr>
          <w:lang w:eastAsia="en-US"/>
        </w:rPr>
        <w:t>Bioloģiskos aktīvus, kurus paredzēts izmantot lauksaimnieciskajā darbībā, bilancē norāda patiesajā vai kadastrālajā vērtībā.</w:t>
      </w:r>
    </w:p>
    <w:p w:rsidR="00C81F6D" w:rsidRPr="00BD090F" w:rsidP="00C81F6D" w14:paraId="2BB26E87" w14:textId="77777777">
      <w:pPr>
        <w:jc w:val="both"/>
        <w:rPr>
          <w:lang w:eastAsia="en-US"/>
        </w:rPr>
      </w:pPr>
      <w:r w:rsidRPr="00BD090F">
        <w:rPr>
          <w:lang w:eastAsia="en-US"/>
        </w:rPr>
        <w:t>Ilgtermiņa un īstermiņa prasības, finanšu ieguldījumus, kuriem aprēķināts vērtības samazinājums, samaksātos avansus un nākamo periodu izdevumus bilancē norāda neto vērtībā, ko aprēķina, no uzskaites vērtības atskaitot vērtības samazinājumu.</w:t>
      </w:r>
    </w:p>
    <w:p w:rsidR="00C81F6D" w:rsidRPr="00BD090F" w:rsidP="00C81F6D" w14:paraId="7746EBDC" w14:textId="77777777">
      <w:pPr>
        <w:jc w:val="both"/>
        <w:rPr>
          <w:lang w:eastAsia="en-US"/>
        </w:rPr>
      </w:pPr>
      <w:r w:rsidRPr="00BD090F">
        <w:rPr>
          <w:lang w:eastAsia="en-US"/>
        </w:rPr>
        <w:t>Finanšu instrumentus bilancē norāda šādā vērtībā:</w:t>
      </w:r>
    </w:p>
    <w:p w:rsidR="00C81F6D" w:rsidRPr="00BD090F" w:rsidP="00662F3C" w14:paraId="76D34750" w14:textId="77777777">
      <w:pPr>
        <w:numPr>
          <w:ilvl w:val="0"/>
          <w:numId w:val="5"/>
        </w:numPr>
        <w:tabs>
          <w:tab w:val="left" w:pos="426"/>
        </w:tabs>
        <w:ind w:left="426" w:hanging="426"/>
        <w:jc w:val="both"/>
        <w:rPr>
          <w:lang w:eastAsia="en-US"/>
        </w:rPr>
      </w:pPr>
      <w:r w:rsidRPr="00BD090F">
        <w:rPr>
          <w:lang w:eastAsia="en-US"/>
        </w:rPr>
        <w:t>prasības un aizdevumus, kā arī līdz termiņa beigām turētus ieguldījumus – neto vērtībā,</w:t>
      </w:r>
    </w:p>
    <w:p w:rsidR="0013129E" w:rsidP="0013129E" w14:paraId="4B1EAF78" w14:textId="77777777">
      <w:pPr>
        <w:tabs>
          <w:tab w:val="left" w:pos="709"/>
        </w:tabs>
        <w:ind w:firstLine="426"/>
        <w:jc w:val="both"/>
        <w:rPr>
          <w:lang w:eastAsia="en-US"/>
        </w:rPr>
      </w:pPr>
      <w:r w:rsidRPr="00BD090F">
        <w:rPr>
          <w:lang w:eastAsia="en-US"/>
        </w:rPr>
        <w:t>ko aprēķina, no amortizētās vērtības atskaitot vērtības samazinājumu;</w:t>
      </w:r>
    </w:p>
    <w:p w:rsidR="00C81F6D" w:rsidRPr="00BD090F" w:rsidP="00662F3C" w14:paraId="65ED4E24" w14:textId="3FB2D83F">
      <w:pPr>
        <w:pStyle w:val="ListParagraph"/>
        <w:numPr>
          <w:ilvl w:val="0"/>
          <w:numId w:val="18"/>
        </w:numPr>
        <w:tabs>
          <w:tab w:val="left" w:pos="426"/>
        </w:tabs>
        <w:ind w:left="426" w:hanging="426"/>
        <w:jc w:val="both"/>
      </w:pPr>
      <w:r w:rsidRPr="00BD090F">
        <w:t xml:space="preserve">patiesajā vērtībā novērtētus </w:t>
      </w:r>
      <w:r w:rsidRPr="00BD090F">
        <w:t>finanšu aktīvus un finanšu saistības, kuru vērtības izmaiņas</w:t>
      </w:r>
    </w:p>
    <w:p w:rsidR="0013129E" w:rsidP="0013129E" w14:paraId="3A0ACD7C" w14:textId="77777777">
      <w:pPr>
        <w:tabs>
          <w:tab w:val="left" w:pos="709"/>
        </w:tabs>
        <w:ind w:left="709" w:hanging="283"/>
        <w:jc w:val="both"/>
        <w:rPr>
          <w:lang w:eastAsia="en-US"/>
        </w:rPr>
      </w:pPr>
      <w:r w:rsidRPr="00BD090F">
        <w:rPr>
          <w:lang w:eastAsia="en-US"/>
        </w:rPr>
        <w:t>atzītas pārskata perioda ieņēmumos vai izdevumos, – patiesajā vērtībā;</w:t>
      </w:r>
    </w:p>
    <w:p w:rsidR="00C81F6D" w:rsidRPr="00BD090F" w:rsidP="00662F3C" w14:paraId="16A136DC" w14:textId="7AA57F1F">
      <w:pPr>
        <w:pStyle w:val="ListParagraph"/>
        <w:numPr>
          <w:ilvl w:val="0"/>
          <w:numId w:val="18"/>
        </w:numPr>
        <w:ind w:left="426" w:hanging="426"/>
        <w:jc w:val="both"/>
      </w:pPr>
      <w:r w:rsidRPr="00BD090F">
        <w:t>patiesajā vērtībā novērtētus pārdošanai pieejamus finanšu instrumentus – neto vērtībā, ko</w:t>
      </w:r>
      <w:r>
        <w:t xml:space="preserve"> </w:t>
      </w:r>
      <w:r w:rsidRPr="00BD090F">
        <w:t>aprēķina, no patiesās vērtības atskaitot vērtības samazinājumu;</w:t>
      </w:r>
    </w:p>
    <w:p w:rsidR="00C81F6D" w:rsidRPr="00BD090F" w:rsidP="00662F3C" w14:paraId="41C24893" w14:textId="77777777">
      <w:pPr>
        <w:numPr>
          <w:ilvl w:val="0"/>
          <w:numId w:val="5"/>
        </w:numPr>
        <w:tabs>
          <w:tab w:val="left" w:pos="426"/>
        </w:tabs>
        <w:ind w:left="426" w:hanging="426"/>
        <w:jc w:val="both"/>
        <w:rPr>
          <w:lang w:eastAsia="en-US"/>
        </w:rPr>
      </w:pPr>
      <w:r w:rsidRPr="00BD090F">
        <w:rPr>
          <w:lang w:eastAsia="en-US"/>
        </w:rPr>
        <w:t>izmaksu vērtībā novērtētus pārdošanai pieejamus finanšu instrumentus – neto vērtībā, ko</w:t>
      </w:r>
      <w:r>
        <w:rPr>
          <w:lang w:eastAsia="en-US"/>
        </w:rPr>
        <w:t xml:space="preserve"> </w:t>
      </w:r>
      <w:r w:rsidRPr="00BD090F">
        <w:rPr>
          <w:lang w:eastAsia="en-US"/>
        </w:rPr>
        <w:t>aprēķina, no izmaksu vērtības atskaitot vērtības samazinājumu;</w:t>
      </w:r>
    </w:p>
    <w:p w:rsidR="00C81F6D" w:rsidRPr="00BD090F" w:rsidP="00662F3C" w14:paraId="55670126" w14:textId="77777777">
      <w:pPr>
        <w:numPr>
          <w:ilvl w:val="0"/>
          <w:numId w:val="5"/>
        </w:numPr>
        <w:tabs>
          <w:tab w:val="left" w:pos="426"/>
        </w:tabs>
        <w:ind w:left="426" w:hanging="426"/>
        <w:jc w:val="both"/>
        <w:rPr>
          <w:lang w:eastAsia="en-US"/>
        </w:rPr>
      </w:pPr>
      <w:r w:rsidRPr="00BD090F">
        <w:rPr>
          <w:lang w:eastAsia="en-US"/>
        </w:rPr>
        <w:t>pārējās finanšu saistības (izņemot finanšu garantiju līgumus) –amortizētajā vērtībā.</w:t>
      </w:r>
    </w:p>
    <w:p w:rsidR="00C81F6D" w:rsidRPr="00BD090F" w:rsidP="00C81F6D" w14:paraId="6BA3EF29" w14:textId="77777777">
      <w:pPr>
        <w:jc w:val="both"/>
        <w:rPr>
          <w:lang w:eastAsia="en-US"/>
        </w:rPr>
      </w:pPr>
      <w:r w:rsidRPr="00BD090F">
        <w:rPr>
          <w:lang w:eastAsia="en-US"/>
        </w:rPr>
        <w:t>Krājumus (ieskaitot avansa maksājumus par krājumiem) norāda atlikušajā vērtībā, ko aprēķina, no sākotnējās vērtības atskaitot vērtības samazinājumu.</w:t>
      </w:r>
    </w:p>
    <w:p w:rsidR="00C81F6D" w:rsidRPr="00BD090F" w:rsidP="00C81F6D" w14:paraId="0B1AE85E" w14:textId="77777777">
      <w:pPr>
        <w:jc w:val="both"/>
        <w:rPr>
          <w:lang w:eastAsia="en-US"/>
        </w:rPr>
      </w:pPr>
      <w:r w:rsidRPr="00BD090F">
        <w:rPr>
          <w:lang w:eastAsia="en-US"/>
        </w:rPr>
        <w:t>Uzkrājumus bilancē norāda pienākuma izpildei nepieciešamo resursu visticamākās aplēses pašreizējā vērtībā.</w:t>
      </w:r>
    </w:p>
    <w:p w:rsidR="00C81F6D" w:rsidRPr="00BD090F" w:rsidP="00C81F6D" w14:paraId="225103FD" w14:textId="77777777">
      <w:pPr>
        <w:jc w:val="both"/>
        <w:rPr>
          <w:lang w:eastAsia="en-US"/>
        </w:rPr>
      </w:pPr>
      <w:r w:rsidRPr="00BD090F">
        <w:rPr>
          <w:lang w:eastAsia="en-US"/>
        </w:rPr>
        <w:t>Saistības (izņemot finanšu instrumentus) bilancē norāda amortizētajā vērtībā.</w:t>
      </w:r>
    </w:p>
    <w:p w:rsidR="00C81F6D" w:rsidP="00C81F6D" w14:paraId="1912D056" w14:textId="77777777">
      <w:pPr>
        <w:jc w:val="both"/>
        <w:rPr>
          <w:lang w:eastAsia="en-US"/>
        </w:rPr>
      </w:pPr>
    </w:p>
    <w:p w:rsidR="00C81F6D" w:rsidRPr="00C603DF" w:rsidP="00B846EA" w14:paraId="06268ED3" w14:textId="75C3197A">
      <w:pPr>
        <w:rPr>
          <w:b/>
          <w:lang w:eastAsia="en-US"/>
        </w:rPr>
      </w:pPr>
      <w:r w:rsidRPr="00BD090F">
        <w:rPr>
          <w:b/>
          <w:lang w:eastAsia="en-US"/>
        </w:rPr>
        <w:t>3.3.2. Pārskats par darbības finansiālajiem rezultātiem – Veidlapa Nr. FD</w:t>
      </w:r>
    </w:p>
    <w:p w:rsidR="00C81F6D" w:rsidRPr="00BD090F" w:rsidP="00C81F6D" w14:paraId="1041F52C" w14:textId="77777777">
      <w:pPr>
        <w:jc w:val="both"/>
        <w:rPr>
          <w:lang w:eastAsia="en-US"/>
        </w:rPr>
      </w:pPr>
      <w:r w:rsidRPr="00BD090F">
        <w:rPr>
          <w:lang w:eastAsia="en-US"/>
        </w:rPr>
        <w:t>Pārskatā par darbības finansiālajiem rezultātiem iestāde uzrāda visus pārskata periodā atzītos ieņēmumus un izdevumus saskaņā ar uzkrāšanas principu un budžeta izpildes rezultātu.</w:t>
      </w:r>
    </w:p>
    <w:p w:rsidR="00C81F6D" w:rsidRPr="00BD090F" w:rsidP="00C81F6D" w14:paraId="4D674C27" w14:textId="77777777">
      <w:pPr>
        <w:jc w:val="both"/>
        <w:rPr>
          <w:lang w:eastAsia="en-US"/>
        </w:rPr>
      </w:pPr>
      <w:r w:rsidRPr="00BD090F">
        <w:rPr>
          <w:lang w:eastAsia="en-US"/>
        </w:rPr>
        <w:t>Pārskatā norāda arī grāmatvedības aplēšu izmaiņu, darījumu klasifikācijas maiņas un iepriekšējo pārskata periodu kļūdu labojumu ietekmi.</w:t>
      </w:r>
    </w:p>
    <w:p w:rsidR="00C81F6D" w:rsidRPr="00BD090F" w:rsidP="00C81F6D" w14:paraId="0EE14116" w14:textId="77777777">
      <w:pPr>
        <w:jc w:val="both"/>
        <w:rPr>
          <w:lang w:eastAsia="en-US"/>
        </w:rPr>
      </w:pPr>
      <w:r w:rsidRPr="00BD090F">
        <w:rPr>
          <w:lang w:eastAsia="en-US"/>
        </w:rPr>
        <w:t>Ieņēmumus un izdevumus pārskatā norāda pa ieņēmumu un izdevumu grupām, izņemot ieņēmumus un izdevumus, kurus norāda atsevišķā pozīcijā, savstarpēji izslēdzot, un kas radušies sakarā ar:</w:t>
      </w:r>
    </w:p>
    <w:p w:rsidR="00C81F6D" w:rsidRPr="00BD090F" w:rsidP="00662F3C" w14:paraId="728A9ABE" w14:textId="77777777">
      <w:pPr>
        <w:numPr>
          <w:ilvl w:val="0"/>
          <w:numId w:val="5"/>
        </w:numPr>
        <w:ind w:left="426" w:hanging="426"/>
        <w:jc w:val="both"/>
        <w:rPr>
          <w:lang w:eastAsia="en-US"/>
        </w:rPr>
      </w:pPr>
      <w:r w:rsidRPr="00BD090F">
        <w:rPr>
          <w:lang w:eastAsia="en-US"/>
        </w:rPr>
        <w:t xml:space="preserve">finanšu instrumentu patiesās vērtības izmaiņām, ārvalstu valūtas kursa svārstībām, atsavināšanu un izslēgšanu no uzskaites, kā arī sakarā ar pārdošanai pieejamu finanšu instrumentu </w:t>
      </w:r>
      <w:r w:rsidRPr="00BD090F">
        <w:rPr>
          <w:lang w:eastAsia="en-US"/>
        </w:rPr>
        <w:t>pārklasifikāciju</w:t>
      </w:r>
      <w:r w:rsidRPr="00BD090F">
        <w:rPr>
          <w:lang w:eastAsia="en-US"/>
        </w:rPr>
        <w:t xml:space="preserve"> uz citu finanšu instrumentu kategoriju;</w:t>
      </w:r>
    </w:p>
    <w:p w:rsidR="00C81F6D" w:rsidRPr="00BD090F" w:rsidP="00662F3C" w14:paraId="4A5F5C3D" w14:textId="77777777">
      <w:pPr>
        <w:numPr>
          <w:ilvl w:val="0"/>
          <w:numId w:val="5"/>
        </w:numPr>
        <w:ind w:left="426" w:hanging="426"/>
        <w:jc w:val="both"/>
        <w:rPr>
          <w:lang w:eastAsia="en-US"/>
        </w:rPr>
      </w:pPr>
      <w:r w:rsidRPr="00BD090F">
        <w:rPr>
          <w:lang w:eastAsia="en-US"/>
        </w:rPr>
        <w:t>nefinanšu</w:t>
      </w:r>
      <w:r w:rsidRPr="00BD090F">
        <w:rPr>
          <w:lang w:eastAsia="en-US"/>
        </w:rPr>
        <w:t xml:space="preserve"> aktīvu atsavināšanu. Šādā gadījumā pārskatā norāda neto vērtību – ieņēmumus (+) vai zaudējumus (–) no ilgtermiņa ieguldījumu objekta atsavināšanas, kuru aprēķina kā starpību starp izslēgtā objekta bilances vērtību un tā atsavināšanas ieņēmumiem un izdevumiem.</w:t>
      </w:r>
    </w:p>
    <w:p w:rsidR="00C81F6D" w:rsidRPr="00BD090F" w:rsidP="00C81F6D" w14:paraId="47627BAF" w14:textId="77777777">
      <w:pPr>
        <w:jc w:val="both"/>
        <w:rPr>
          <w:lang w:eastAsia="en-US"/>
        </w:rPr>
      </w:pPr>
      <w:r w:rsidRPr="00BD090F">
        <w:rPr>
          <w:lang w:eastAsia="en-US"/>
        </w:rPr>
        <w:t>Ieņēmumus (izņemot nodokļu ieņēmumus) un izdevumus (izņemot atalgojumu, darba devēja valsts sociālās apdrošināšanas obligātās iemaksas, pabalstus un kompensācijas, mācību, darba un dienesta komandējumu un dienesta, darba braucienu izdevumus, nodokļu, nodevu un naudas sodu maksājumus, nolietojuma un amortizācijas izmaksas) pārskatā norāda sadalījumā pa institucionālo sektoru klasifikācijas kodiem atbilstoši normatīvajiem aktiem budžetu klasifikācijas jomā.</w:t>
      </w:r>
    </w:p>
    <w:p w:rsidR="00C81F6D" w:rsidRPr="00BD090F" w:rsidP="00C81F6D" w14:paraId="282FB527" w14:textId="77777777">
      <w:pPr>
        <w:jc w:val="both"/>
        <w:rPr>
          <w:lang w:eastAsia="en-US"/>
        </w:rPr>
      </w:pPr>
      <w:r w:rsidRPr="00BD090F">
        <w:rPr>
          <w:lang w:eastAsia="en-US"/>
        </w:rPr>
        <w:t xml:space="preserve">Ieņēmumus vai izdevumus no finanšu instrumentiem un ieņēmumus vai izdevumus no </w:t>
      </w:r>
      <w:r w:rsidRPr="00BD090F">
        <w:rPr>
          <w:lang w:eastAsia="en-US"/>
        </w:rPr>
        <w:t>nefinanšu</w:t>
      </w:r>
      <w:r w:rsidRPr="00BD090F">
        <w:rPr>
          <w:lang w:eastAsia="en-US"/>
        </w:rPr>
        <w:t xml:space="preserve"> aktīvu atsavināšanas norāda neto vērtībā un nenorāda sadalījumā pa institucionālajiem sektoriem.</w:t>
      </w:r>
    </w:p>
    <w:p w:rsidR="00C81F6D" w:rsidRPr="00BD090F" w:rsidP="00C81F6D" w14:paraId="49456512" w14:textId="77777777">
      <w:pPr>
        <w:jc w:val="both"/>
        <w:rPr>
          <w:lang w:eastAsia="en-US"/>
        </w:rPr>
      </w:pPr>
      <w:r w:rsidRPr="00BD090F">
        <w:rPr>
          <w:lang w:eastAsia="en-US"/>
        </w:rPr>
        <w:t>Pārskata periodā veiktos būtisku iepriekšējo pārskata periodu kļūdu labojumus norāda atsevišķā ailē tādā vērtībā, kāda attiecas uz iepriekšējo pārskata periodu. Ja kļūdu labojumi attiecas uz citiem periodiem pirms iepriekšējā pārskata perioda, tos šajā pārskatā nenorāda.</w:t>
      </w:r>
    </w:p>
    <w:p w:rsidR="00C81F6D" w:rsidRPr="00BD090F" w:rsidP="00C81F6D" w14:paraId="06433D75" w14:textId="77777777">
      <w:pPr>
        <w:jc w:val="both"/>
        <w:rPr>
          <w:lang w:eastAsia="en-US"/>
        </w:rPr>
      </w:pPr>
      <w:r w:rsidRPr="00BD090F">
        <w:rPr>
          <w:lang w:eastAsia="en-US"/>
        </w:rPr>
        <w:t xml:space="preserve">Ja pārskata gadā mainīta darījumu klasifikācija, atsevišķā ailē norāda iepriekšējā pārskata perioda datu </w:t>
      </w:r>
      <w:r w:rsidRPr="00BD090F">
        <w:rPr>
          <w:lang w:eastAsia="en-US"/>
        </w:rPr>
        <w:t>pārklasifikāciju</w:t>
      </w:r>
      <w:r w:rsidRPr="00BD090F">
        <w:rPr>
          <w:lang w:eastAsia="en-US"/>
        </w:rPr>
        <w:t xml:space="preserve"> atbilstoši pārskata gada klasifikācijai.</w:t>
      </w:r>
    </w:p>
    <w:p w:rsidR="00C81F6D" w:rsidRPr="00BD090F" w:rsidP="00C81F6D" w14:paraId="5C9963C8" w14:textId="77777777">
      <w:pPr>
        <w:jc w:val="both"/>
        <w:rPr>
          <w:lang w:eastAsia="en-US"/>
        </w:rPr>
      </w:pPr>
    </w:p>
    <w:p w:rsidR="00C81F6D" w:rsidRPr="00BD090F" w:rsidP="00C261C6" w14:paraId="0395C4EE" w14:textId="77777777">
      <w:pPr>
        <w:rPr>
          <w:b/>
          <w:lang w:eastAsia="en-US"/>
        </w:rPr>
      </w:pPr>
      <w:r w:rsidRPr="00BD090F">
        <w:rPr>
          <w:b/>
          <w:lang w:eastAsia="en-US"/>
        </w:rPr>
        <w:t>3.3.3. Pašu kapitāla izmaiņu pārskats – veidlapa Nr.PK</w:t>
      </w:r>
    </w:p>
    <w:p w:rsidR="00C81F6D" w:rsidRPr="00BD090F" w:rsidP="00C81F6D" w14:paraId="23B086B3" w14:textId="77777777">
      <w:pPr>
        <w:jc w:val="both"/>
        <w:rPr>
          <w:lang w:eastAsia="en-US"/>
        </w:rPr>
      </w:pPr>
      <w:r w:rsidRPr="00BD090F">
        <w:rPr>
          <w:lang w:eastAsia="en-US"/>
        </w:rPr>
        <w:t xml:space="preserve">Pašu kapitāla izmaiņu pārskats sniedz informāciju par iestādes neto aktīvu pieaugumu vai samazinājumu pārskata periodā un iepriekšējā pārskata periodā. Neto aktīvi ir starpība starp budžeta iestādes kopējiem aktīviem un kopējām saistībām un uzkrājumiem. Pašu kapitāls var būt gan pozitīvs, gan negatīvs. Iestāde iesniedz pašu kapitāla izmaiņu pārskatu, tajā norādot: </w:t>
      </w:r>
    </w:p>
    <w:p w:rsidR="00C81F6D" w:rsidRPr="00BD090F" w:rsidP="00662F3C" w14:paraId="462C4942" w14:textId="77777777">
      <w:pPr>
        <w:numPr>
          <w:ilvl w:val="0"/>
          <w:numId w:val="6"/>
        </w:numPr>
        <w:ind w:left="426" w:hanging="426"/>
        <w:jc w:val="both"/>
        <w:rPr>
          <w:lang w:eastAsia="en-US"/>
        </w:rPr>
      </w:pPr>
      <w:r w:rsidRPr="00BD090F">
        <w:rPr>
          <w:lang w:eastAsia="en-US"/>
        </w:rPr>
        <w:t xml:space="preserve">pārskata perioda budžeta izpildes rezultātu; </w:t>
      </w:r>
    </w:p>
    <w:p w:rsidR="00C81F6D" w:rsidRPr="00BD090F" w:rsidP="00662F3C" w14:paraId="2C0346B7" w14:textId="77777777">
      <w:pPr>
        <w:numPr>
          <w:ilvl w:val="0"/>
          <w:numId w:val="6"/>
        </w:numPr>
        <w:ind w:left="426" w:hanging="426"/>
        <w:jc w:val="both"/>
        <w:rPr>
          <w:lang w:eastAsia="en-US"/>
        </w:rPr>
      </w:pPr>
      <w:r w:rsidRPr="00BD090F">
        <w:rPr>
          <w:lang w:eastAsia="en-US"/>
        </w:rPr>
        <w:t>katru pārskata perioda bilances aktīvu vai saistību izmaiņu summu, kas saskaņā ar normatīvo aktu prasībām atzīta tieši pašu kapitālā, un šo posteņu kopsummu;</w:t>
      </w:r>
    </w:p>
    <w:p w:rsidR="00C81F6D" w:rsidRPr="00BD090F" w:rsidP="00662F3C" w14:paraId="14BC96E0" w14:textId="77777777">
      <w:pPr>
        <w:numPr>
          <w:ilvl w:val="0"/>
          <w:numId w:val="6"/>
        </w:numPr>
        <w:ind w:left="426" w:hanging="426"/>
        <w:jc w:val="both"/>
        <w:rPr>
          <w:lang w:eastAsia="en-US"/>
        </w:rPr>
      </w:pPr>
      <w:r w:rsidRPr="00BD090F">
        <w:rPr>
          <w:lang w:eastAsia="en-US"/>
        </w:rPr>
        <w:t xml:space="preserve">grāmatvedības uzskaites principu izmaiņu ietekmi un kļūdu labojumus katrai pašu kapitāla sastāvdaļai; </w:t>
      </w:r>
    </w:p>
    <w:p w:rsidR="00C81F6D" w:rsidRPr="00BD090F" w:rsidP="00662F3C" w14:paraId="21F4D24A" w14:textId="77777777">
      <w:pPr>
        <w:numPr>
          <w:ilvl w:val="0"/>
          <w:numId w:val="6"/>
        </w:numPr>
        <w:ind w:left="426" w:hanging="426"/>
        <w:jc w:val="both"/>
        <w:rPr>
          <w:lang w:eastAsia="en-US"/>
        </w:rPr>
      </w:pPr>
      <w:r w:rsidRPr="00BD090F">
        <w:rPr>
          <w:lang w:eastAsia="en-US"/>
        </w:rPr>
        <w:t xml:space="preserve">iepriekšējo periodu budžeta izpildes rezultāta </w:t>
      </w:r>
      <w:r>
        <w:rPr>
          <w:lang w:eastAsia="en-US"/>
        </w:rPr>
        <w:t xml:space="preserve">organizēšana </w:t>
      </w:r>
      <w:r w:rsidRPr="00BD090F">
        <w:rPr>
          <w:lang w:eastAsia="en-US"/>
        </w:rPr>
        <w:t xml:space="preserve">atlikumu pārskata perioda sākumā un beigās, un izmaiņas iepriekšējā pārskata perioda laikā; </w:t>
      </w:r>
    </w:p>
    <w:p w:rsidR="00C81F6D" w:rsidRPr="00BD090F" w:rsidP="00662F3C" w14:paraId="48341C3A" w14:textId="77777777">
      <w:pPr>
        <w:numPr>
          <w:ilvl w:val="0"/>
          <w:numId w:val="6"/>
        </w:numPr>
        <w:ind w:left="426" w:hanging="426"/>
        <w:jc w:val="both"/>
        <w:rPr>
          <w:lang w:eastAsia="en-US"/>
        </w:rPr>
      </w:pPr>
      <w:r w:rsidRPr="00BD090F">
        <w:rPr>
          <w:lang w:eastAsia="en-US"/>
        </w:rPr>
        <w:t xml:space="preserve">pārskata perioda budžeta izpildes rezultāta atlikumu pārskata perioda sākumā un beigās, un izmaiņas pārskata perioda laikā; </w:t>
      </w:r>
    </w:p>
    <w:p w:rsidR="00C81F6D" w:rsidRPr="00BD090F" w:rsidP="00662F3C" w14:paraId="122BB185" w14:textId="77777777">
      <w:pPr>
        <w:numPr>
          <w:ilvl w:val="0"/>
          <w:numId w:val="6"/>
        </w:numPr>
        <w:ind w:left="426" w:hanging="426"/>
        <w:jc w:val="both"/>
        <w:rPr>
          <w:lang w:eastAsia="en-US"/>
        </w:rPr>
      </w:pPr>
      <w:r w:rsidRPr="00BD090F">
        <w:rPr>
          <w:lang w:eastAsia="en-US"/>
        </w:rPr>
        <w:t xml:space="preserve">katras atsevišķi uzrādītās pašu kapitāla sastāvdaļas (rezerves un budžeta izpildes rezultāta) uzskaites vērtību pārskata perioda sākumā un beigās, atsevišķi uzrādot izmaiņas pārskata perioda laikā. </w:t>
      </w:r>
    </w:p>
    <w:p w:rsidR="00C81F6D" w:rsidRPr="00BD090F" w:rsidP="00C81F6D" w14:paraId="3145E3A1" w14:textId="77777777">
      <w:pPr>
        <w:jc w:val="both"/>
        <w:rPr>
          <w:lang w:eastAsia="en-US"/>
        </w:rPr>
      </w:pPr>
      <w:r w:rsidRPr="00BD090F">
        <w:rPr>
          <w:lang w:eastAsia="en-US"/>
        </w:rPr>
        <w:t>Kopējās pašu kapitāla izmaiņas pārskata periodā uzrāda kopējo budžeta izpildes rezultātu pārskata periodā, pārējās bilances aktīvu vai saistību izmaiņas, kas atzītas rezervēs.</w:t>
      </w:r>
    </w:p>
    <w:p w:rsidR="00C81F6D" w:rsidP="00C81F6D" w14:paraId="613A66B0" w14:textId="77777777">
      <w:pPr>
        <w:jc w:val="both"/>
        <w:rPr>
          <w:lang w:eastAsia="en-US"/>
        </w:rPr>
      </w:pPr>
    </w:p>
    <w:p w:rsidR="00C81F6D" w:rsidRPr="00BD090F" w:rsidP="00C261C6" w14:paraId="1882478E" w14:textId="77777777">
      <w:pPr>
        <w:rPr>
          <w:b/>
          <w:lang w:eastAsia="en-US"/>
        </w:rPr>
      </w:pPr>
      <w:r w:rsidRPr="00BD090F">
        <w:rPr>
          <w:b/>
          <w:lang w:eastAsia="en-US"/>
        </w:rPr>
        <w:t>3.3.4. Naudas plūsmas pārskats – Veidlapa Nr.NP</w:t>
      </w:r>
    </w:p>
    <w:p w:rsidR="00C81F6D" w:rsidRPr="00BD090F" w:rsidP="00C81F6D" w14:paraId="58FFCF5A" w14:textId="77777777">
      <w:pPr>
        <w:jc w:val="both"/>
        <w:rPr>
          <w:lang w:eastAsia="en-US"/>
        </w:rPr>
      </w:pPr>
      <w:r w:rsidRPr="00BD090F">
        <w:rPr>
          <w:lang w:eastAsia="en-US"/>
        </w:rPr>
        <w:t>Naudas plūsmas pārskats sniedz informāciju par ienākošo naudas plūsmu avotiem, par posteņiem, kuros pārskata periodā izmaksāti naudas līdzekļi, un par naudas atlikumu pārskata datumā.</w:t>
      </w:r>
    </w:p>
    <w:p w:rsidR="00C81F6D" w:rsidRPr="00BD090F" w:rsidP="00C81F6D" w14:paraId="68C29572" w14:textId="77777777">
      <w:pPr>
        <w:jc w:val="both"/>
        <w:rPr>
          <w:lang w:eastAsia="en-US"/>
        </w:rPr>
      </w:pPr>
      <w:r w:rsidRPr="00BD090F">
        <w:rPr>
          <w:lang w:eastAsia="en-US"/>
        </w:rPr>
        <w:t>Naudas plūsmas pārskats sniedz finanšu pārskata lietotājiem informāciju par iestādes naudas plūsmu, lai varētu novērtēt tās spēju gūt naudas līdzekļu un naudas ekvivalentu ieņēmumus, kā arī tās vajadzības naudas plūsmas izlietošanai.</w:t>
      </w:r>
    </w:p>
    <w:p w:rsidR="00C81F6D" w:rsidRPr="00BD090F" w:rsidP="00C81F6D" w14:paraId="0BEC29E2" w14:textId="77777777">
      <w:pPr>
        <w:jc w:val="both"/>
        <w:rPr>
          <w:lang w:eastAsia="en-US"/>
        </w:rPr>
      </w:pPr>
      <w:r w:rsidRPr="00BD090F">
        <w:rPr>
          <w:lang w:eastAsia="en-US"/>
        </w:rPr>
        <w:t>Naudas plūsmu klasificē atbilstoši iestādes pamatdarbībai, ieguldījumu darbībai un finansēšanas darbībai. Tas ļauj novērtēt šo darbību ietekmi uz iestādes finansiālo stāvokli un naudas līdzekļu vai naudas ekvivalentu atlikumu pārskata perioda beigās.</w:t>
      </w:r>
    </w:p>
    <w:p w:rsidR="00C81F6D" w:rsidRPr="00BD090F" w:rsidP="00C81F6D" w14:paraId="7E0F730D" w14:textId="77777777">
      <w:pPr>
        <w:jc w:val="both"/>
        <w:rPr>
          <w:lang w:eastAsia="en-US"/>
        </w:rPr>
      </w:pPr>
      <w:r w:rsidRPr="00BD090F">
        <w:rPr>
          <w:lang w:eastAsia="en-US"/>
        </w:rPr>
        <w:t>Pamatdarbības naudas plūsma parāda iestādes spēju turpināt savu darbību, atmaksāt savas saistības un veikt jaunus ieguldījumus, neizmantojot ārējus finansējuma avotus. Pamatdarbības naudas plūsmā neietver naudas plūsmas, kas attiecināmas uz ieguldījumu darbību vai finansēšanas darbību.</w:t>
      </w:r>
    </w:p>
    <w:p w:rsidR="00C81F6D" w:rsidRPr="00BD090F" w:rsidP="00C81F6D" w14:paraId="31BDC384" w14:textId="77777777">
      <w:pPr>
        <w:jc w:val="both"/>
        <w:rPr>
          <w:lang w:eastAsia="en-US"/>
        </w:rPr>
      </w:pPr>
      <w:r w:rsidRPr="00BD090F">
        <w:rPr>
          <w:lang w:eastAsia="en-US"/>
        </w:rPr>
        <w:t>Ieguldījumu darbības naudas plūsma parāda, cik lieli maksājumi radušies, lai iegūtu resursus, kurus iestāde paredzējusi izmantot funkciju nodrošināšanai. Par ieguldījumu darbību klasificē tikai tādus darījumus, kuru rezultātā pārskatā par iestādes finansiālo stāvokli (bilancē) tiek atzīti vai izslēgti ilgtermiņa aktīvi, kā arī īstermiņa finanšu ieguldījumi.</w:t>
      </w:r>
    </w:p>
    <w:p w:rsidR="00C81F6D" w:rsidRPr="00BD090F" w:rsidP="00C81F6D" w14:paraId="58027A4A" w14:textId="77777777">
      <w:pPr>
        <w:jc w:val="both"/>
        <w:rPr>
          <w:lang w:eastAsia="en-US"/>
        </w:rPr>
      </w:pPr>
      <w:r w:rsidRPr="00BD090F">
        <w:rPr>
          <w:lang w:eastAsia="en-US"/>
        </w:rPr>
        <w:t xml:space="preserve">Par finansēšanas darbību uzskata darbību, kas rada izmaiņas aizņēmumu apmērā un sastāvā, kā arī darījumus ar atvasinātiem finanšu instrumentiem, ja tie piesaistīti </w:t>
      </w:r>
      <w:r w:rsidRPr="00BD090F">
        <w:rPr>
          <w:lang w:eastAsia="en-US"/>
        </w:rPr>
        <w:t>finansēšanas darbībā iekļautajiem finanšu instrumentiem, un veiktos maksājumus finanšu nomas līguma ietvaros.</w:t>
      </w:r>
    </w:p>
    <w:p w:rsidR="00C81F6D" w:rsidRPr="00BD090F" w:rsidP="00C81F6D" w14:paraId="721A52D4" w14:textId="77777777">
      <w:pPr>
        <w:jc w:val="both"/>
        <w:rPr>
          <w:lang w:eastAsia="en-US"/>
        </w:rPr>
      </w:pPr>
      <w:r w:rsidRPr="00BD090F">
        <w:rPr>
          <w:lang w:eastAsia="en-US"/>
        </w:rPr>
        <w:t>Naudas plūsmu no piesaistītajiem līdzekļiem norāda par valsts budžeta finanšu uzskaites nodrošināšanai piesaistītajiem līdzekļiem.</w:t>
      </w:r>
    </w:p>
    <w:p w:rsidR="00C81F6D" w:rsidRPr="00BD090F" w:rsidP="00C81F6D" w14:paraId="76E88912" w14:textId="77777777">
      <w:pPr>
        <w:jc w:val="both"/>
        <w:rPr>
          <w:lang w:eastAsia="en-US"/>
        </w:rPr>
      </w:pPr>
      <w:r w:rsidRPr="00BD090F">
        <w:rPr>
          <w:lang w:eastAsia="en-US"/>
        </w:rPr>
        <w:t>Pārskata periodā veiktos būtisku iepriekšējo pārskata periodu kļūdu labojumus norāda atsevišķā ailē tādā vērtībā, kāda attiecas uz iepriekšējo pārskata gadu. Ja kļūdu labojumi attiecas uz citiem gadiem pirms iepriekšējā pārskata gada, tos šajā pārskatā nenorāda.</w:t>
      </w:r>
    </w:p>
    <w:p w:rsidR="00C81F6D" w:rsidRPr="00BD090F" w:rsidP="00C81F6D" w14:paraId="51DF73B2" w14:textId="77777777">
      <w:pPr>
        <w:jc w:val="both"/>
        <w:rPr>
          <w:lang w:eastAsia="en-US"/>
        </w:rPr>
      </w:pPr>
      <w:r w:rsidRPr="00BD090F">
        <w:rPr>
          <w:lang w:eastAsia="en-US"/>
        </w:rPr>
        <w:t xml:space="preserve">Ja pārskata gadā mainīta darījumu klasifikācija, atsevišķā ailē norāda iepriekšējā pārskata perioda datu </w:t>
      </w:r>
      <w:r w:rsidRPr="00BD090F">
        <w:rPr>
          <w:lang w:eastAsia="en-US"/>
        </w:rPr>
        <w:t>pārklasifikāciju</w:t>
      </w:r>
      <w:r w:rsidRPr="00BD090F">
        <w:rPr>
          <w:lang w:eastAsia="en-US"/>
        </w:rPr>
        <w:t xml:space="preserve"> atbilstoši pārskata gada klasifikācijai.</w:t>
      </w:r>
    </w:p>
    <w:p w:rsidR="00C81F6D" w:rsidRPr="00BD090F" w:rsidP="00C81F6D" w14:paraId="04664CC2" w14:textId="77777777">
      <w:pPr>
        <w:jc w:val="both"/>
        <w:rPr>
          <w:lang w:eastAsia="en-US"/>
        </w:rPr>
      </w:pPr>
      <w:r w:rsidRPr="00BD090F">
        <w:rPr>
          <w:lang w:eastAsia="en-US"/>
        </w:rPr>
        <w:t>Iepriekšējā perioda dati atšķiras no budžeta izpildes pārskatā norādītajiem datiem, ja ir konstatētas kļūdas, kas attiecas uz iepriekšējo pārskata periodu, vai pārskata periodā ir mainīta darījumu klasifikācija un norādīšanas kārtība.</w:t>
      </w:r>
      <w:r w:rsidRPr="00BD090F">
        <w:rPr>
          <w:lang w:eastAsia="en-US"/>
        </w:rPr>
        <w:cr/>
      </w:r>
    </w:p>
    <w:p w:rsidR="00C81F6D" w:rsidRPr="00BD090F" w:rsidP="00C261C6" w14:paraId="639B60D4" w14:textId="77777777">
      <w:pPr>
        <w:rPr>
          <w:b/>
          <w:lang w:eastAsia="en-US"/>
        </w:rPr>
      </w:pPr>
      <w:r w:rsidRPr="00BD090F">
        <w:rPr>
          <w:b/>
          <w:lang w:eastAsia="en-US"/>
        </w:rPr>
        <w:t>3.3.5. Finanšu pārskata pielikums</w:t>
      </w:r>
    </w:p>
    <w:p w:rsidR="00C81F6D" w:rsidRPr="00BD090F" w:rsidP="00C81F6D" w14:paraId="5ADE8140" w14:textId="77777777">
      <w:pPr>
        <w:jc w:val="both"/>
        <w:rPr>
          <w:lang w:eastAsia="en-US"/>
        </w:rPr>
      </w:pPr>
      <w:r w:rsidRPr="00BD090F">
        <w:rPr>
          <w:lang w:eastAsia="en-US"/>
        </w:rPr>
        <w:t xml:space="preserve">Finanšu pārskata pielikums: </w:t>
      </w:r>
    </w:p>
    <w:p w:rsidR="00C81F6D" w:rsidRPr="00BD090F" w:rsidP="00662F3C" w14:paraId="25116518" w14:textId="77777777">
      <w:pPr>
        <w:numPr>
          <w:ilvl w:val="0"/>
          <w:numId w:val="7"/>
        </w:numPr>
        <w:ind w:left="426" w:hanging="426"/>
        <w:jc w:val="both"/>
        <w:rPr>
          <w:lang w:eastAsia="en-US"/>
        </w:rPr>
      </w:pPr>
      <w:r w:rsidRPr="00BD090F">
        <w:rPr>
          <w:lang w:eastAsia="en-US"/>
        </w:rPr>
        <w:t xml:space="preserve">sniedz informāciju par finanšu pārskata sagatavošanas pamatprincipiem un konkrētiem grāmatvedības uzskaites principiem; </w:t>
      </w:r>
    </w:p>
    <w:p w:rsidR="00C81F6D" w:rsidRPr="00BD090F" w:rsidP="00662F3C" w14:paraId="27601253" w14:textId="77777777">
      <w:pPr>
        <w:numPr>
          <w:ilvl w:val="0"/>
          <w:numId w:val="7"/>
        </w:numPr>
        <w:ind w:left="426" w:hanging="426"/>
        <w:jc w:val="both"/>
        <w:rPr>
          <w:lang w:eastAsia="en-US"/>
        </w:rPr>
      </w:pPr>
      <w:r w:rsidRPr="00BD090F">
        <w:rPr>
          <w:lang w:eastAsia="en-US"/>
        </w:rPr>
        <w:t xml:space="preserve">uzrāda normatīvajos aktos pieprasīto informāciju, kas nav uzrādīta pārskatā par finansiālo stāvokli, pārskatā par darbības finansiālajiem rezultātiem, pašu kapitāla izmaiņu pārskatā vai naudas plūsmas pārskatā; </w:t>
      </w:r>
    </w:p>
    <w:p w:rsidR="00C81F6D" w:rsidRPr="00BD090F" w:rsidP="00662F3C" w14:paraId="2BABD45E" w14:textId="77777777">
      <w:pPr>
        <w:numPr>
          <w:ilvl w:val="0"/>
          <w:numId w:val="7"/>
        </w:numPr>
        <w:ind w:left="426" w:hanging="426"/>
        <w:jc w:val="both"/>
        <w:rPr>
          <w:lang w:eastAsia="en-US"/>
        </w:rPr>
      </w:pPr>
      <w:r w:rsidRPr="00BD090F">
        <w:rPr>
          <w:lang w:eastAsia="en-US"/>
        </w:rPr>
        <w:t>sniedz papildu informāciju, kas nav uzrādīta pārskatā par finansiālo stāvokli, pārskatā par darbības finansiālajiem rezultātiem, pašu kapitāla izmaiņu pārskatā vai naudas plūsmas pārskatā, bet ir būtiska jebkura no iepriekš minētajiem pārskatiem izpratnei.</w:t>
      </w:r>
    </w:p>
    <w:p w:rsidR="00C81F6D" w:rsidRPr="00BD090F" w:rsidP="00E516C8" w14:paraId="79FEE84C" w14:textId="77777777">
      <w:pPr>
        <w:jc w:val="both"/>
        <w:rPr>
          <w:lang w:eastAsia="en-US"/>
        </w:rPr>
      </w:pPr>
      <w:r w:rsidRPr="00BD090F">
        <w:rPr>
          <w:lang w:eastAsia="en-US"/>
        </w:rPr>
        <w:t>Finanšu pārskata pielikumā sniedz informāciju par katru posteni pārskatā par finansiālo stāvokli, pārskatā par darbības finansiālajiem rezultātiem, pašu kapitāla izmaiņu pārskatā un naudas plūsmas pārskatā, norādot konkrētās piezīmes numuru.</w:t>
      </w:r>
    </w:p>
    <w:p w:rsidR="00C81F6D" w:rsidRPr="00BD090F" w:rsidP="00E516C8" w14:paraId="432296C2" w14:textId="77777777">
      <w:pPr>
        <w:ind w:left="426" w:hanging="426"/>
        <w:jc w:val="both"/>
        <w:rPr>
          <w:lang w:eastAsia="en-US"/>
        </w:rPr>
      </w:pPr>
      <w:r w:rsidRPr="00BD090F">
        <w:rPr>
          <w:lang w:eastAsia="en-US"/>
        </w:rPr>
        <w:t>Finanšu pārskata pielikums sastāv no:</w:t>
      </w:r>
    </w:p>
    <w:p w:rsidR="00C81F6D" w:rsidRPr="00BD090F" w:rsidP="00662F3C" w14:paraId="20FE60BA" w14:textId="77777777">
      <w:pPr>
        <w:numPr>
          <w:ilvl w:val="0"/>
          <w:numId w:val="8"/>
        </w:numPr>
        <w:ind w:left="426" w:hanging="426"/>
        <w:jc w:val="both"/>
        <w:rPr>
          <w:lang w:eastAsia="en-US"/>
        </w:rPr>
      </w:pPr>
      <w:r w:rsidRPr="00BD090F">
        <w:rPr>
          <w:lang w:eastAsia="en-US"/>
        </w:rPr>
        <w:t xml:space="preserve">grāmatvedības uzskaites principu, gada pārskata sagatavošanas principu un finanšu instrumentu risku pārvaldīšanas apraksta; </w:t>
      </w:r>
    </w:p>
    <w:p w:rsidR="00C81F6D" w:rsidRPr="00BD090F" w:rsidP="00662F3C" w14:paraId="59D187A6" w14:textId="77777777">
      <w:pPr>
        <w:numPr>
          <w:ilvl w:val="0"/>
          <w:numId w:val="8"/>
        </w:numPr>
        <w:ind w:left="426" w:hanging="426"/>
        <w:jc w:val="both"/>
        <w:rPr>
          <w:lang w:eastAsia="en-US"/>
        </w:rPr>
      </w:pPr>
      <w:r w:rsidRPr="00BD090F">
        <w:rPr>
          <w:lang w:eastAsia="en-US"/>
        </w:rPr>
        <w:t>finanšu pārskata posteņu strukturizēta skaidrojuma.</w:t>
      </w:r>
    </w:p>
    <w:p w:rsidR="00C603DF" w:rsidP="00C81F6D" w14:paraId="59DBD226" w14:textId="77777777">
      <w:pPr>
        <w:jc w:val="both"/>
        <w:rPr>
          <w:lang w:eastAsia="en-US"/>
        </w:rPr>
      </w:pPr>
    </w:p>
    <w:p w:rsidR="00C81F6D" w:rsidRPr="004B7F80" w:rsidP="00662F3C" w14:paraId="04CF7D3B" w14:textId="7A0FF2B1">
      <w:pPr>
        <w:pStyle w:val="ListParagraph"/>
        <w:numPr>
          <w:ilvl w:val="1"/>
          <w:numId w:val="4"/>
        </w:numPr>
        <w:ind w:left="426" w:hanging="426"/>
        <w:rPr>
          <w:b/>
        </w:rPr>
      </w:pPr>
      <w:r w:rsidRPr="004B7F80">
        <w:rPr>
          <w:b/>
        </w:rPr>
        <w:t>BUDŽETA IZPILDES PĀRSKATS</w:t>
      </w:r>
    </w:p>
    <w:p w:rsidR="001E17EB" w:rsidRPr="001E17EB" w:rsidP="001E17EB" w14:paraId="137BC90C" w14:textId="77777777">
      <w:pPr>
        <w:jc w:val="both"/>
        <w:rPr>
          <w:iCs/>
        </w:rPr>
      </w:pPr>
      <w:r w:rsidRPr="001E17EB">
        <w:rPr>
          <w:iCs/>
        </w:rPr>
        <w:t>Budžeta izpildes pārskatā norāda informāciju par budžeta izpildi pēc naudas plūsmas principa par pārskata periodu un iepriekšējo pārskata periodu atbilstoši ieņēmumu un izdevumu ekonomiskajām un funkcionālajām kategorijām, un finansēšanas klasifikācijām atbilstoši normatīvajiem aktiem budžetu klasifikācijas jomā.</w:t>
      </w:r>
    </w:p>
    <w:p w:rsidR="001E17EB" w:rsidRPr="001E17EB" w:rsidP="001E17EB" w14:paraId="0EDC7EEB" w14:textId="77777777">
      <w:pPr>
        <w:jc w:val="both"/>
        <w:rPr>
          <w:iCs/>
        </w:rPr>
      </w:pPr>
      <w:r w:rsidRPr="001E17EB">
        <w:rPr>
          <w:iCs/>
        </w:rPr>
        <w:t>Budžeta izpildes pārskatā iepriekšējā perioda dati atšķiras no naudas plūsmas pārskatā norādītajiem iepriekšējā perioda datiem, ja naudas plūsmas pārskatā ir konstatētas kļūdas, kas attiecas uz iepriekšējo pārskata periodu, vai pārskata periodā ir mainīta darījumu klasifikācija un norādīšanas kārtība.</w:t>
      </w:r>
    </w:p>
    <w:p w:rsidR="001E17EB" w:rsidRPr="001E17EB" w:rsidP="001E17EB" w14:paraId="3BFDC1A2" w14:textId="77777777">
      <w:pPr>
        <w:jc w:val="both"/>
        <w:rPr>
          <w:iCs/>
        </w:rPr>
      </w:pPr>
      <w:r w:rsidRPr="001E17EB">
        <w:rPr>
          <w:iCs/>
        </w:rPr>
        <w:t>Budžeta izpildes pārskata skaidrojumā sniedz informāciju par budžeta izstrādāšanas un klasifikācijas principiem un budžeta izpildi.</w:t>
      </w:r>
    </w:p>
    <w:p w:rsidR="00C81F6D" w:rsidRPr="00BD090F" w:rsidP="00C81F6D" w14:paraId="58C22662" w14:textId="77777777">
      <w:pPr>
        <w:jc w:val="both"/>
        <w:rPr>
          <w:lang w:eastAsia="en-US"/>
        </w:rPr>
      </w:pPr>
    </w:p>
    <w:p w:rsidR="00C81F6D" w:rsidRPr="00BF2D51" w:rsidP="00662F3C" w14:paraId="6E76133E" w14:textId="678FB4BF">
      <w:pPr>
        <w:pStyle w:val="ListParagraph"/>
        <w:numPr>
          <w:ilvl w:val="1"/>
          <w:numId w:val="4"/>
        </w:numPr>
        <w:ind w:left="0" w:firstLine="0"/>
        <w:rPr>
          <w:b/>
        </w:rPr>
      </w:pPr>
      <w:r w:rsidRPr="00BF2D51">
        <w:rPr>
          <w:b/>
        </w:rPr>
        <w:t xml:space="preserve">KAPITĀLSABIEDRĪBAS FINANSIĀLĀS DARBĪBAS IETEKME UZ VALSTS VAI PAŠVALDĪBAS BUDŽETU IZDEVUMIEM NĀKOTNĒ (IZVĒRTĒJUMS) </w:t>
      </w:r>
    </w:p>
    <w:p w:rsidR="00C81F6D" w:rsidRPr="00BD090F" w:rsidP="00C81F6D" w14:paraId="42CD1960" w14:textId="7E0519CA">
      <w:pPr>
        <w:jc w:val="both"/>
        <w:rPr>
          <w:lang w:eastAsia="en-US"/>
        </w:rPr>
      </w:pPr>
      <w:r w:rsidRPr="00BD090F">
        <w:rPr>
          <w:lang w:eastAsia="en-US"/>
        </w:rPr>
        <w:t>Izvērtējums</w:t>
      </w:r>
      <w:r w:rsidRPr="00BD090F">
        <w:rPr>
          <w:lang w:eastAsia="en-US"/>
        </w:rPr>
        <w:t xml:space="preserve"> par kapitālsabiedrības finansiālās darbības ietekmi uz budžeta iestādes izdevumiem tiek veikts saskaņā ar 20</w:t>
      </w:r>
      <w:r w:rsidR="00590DB2">
        <w:rPr>
          <w:lang w:eastAsia="en-US"/>
        </w:rPr>
        <w:t>24</w:t>
      </w:r>
      <w:r w:rsidRPr="00BD090F">
        <w:rPr>
          <w:lang w:eastAsia="en-US"/>
        </w:rPr>
        <w:t xml:space="preserve">.gada </w:t>
      </w:r>
      <w:r w:rsidR="00590DB2">
        <w:rPr>
          <w:lang w:eastAsia="en-US"/>
        </w:rPr>
        <w:t>11</w:t>
      </w:r>
      <w:r w:rsidRPr="00BD090F">
        <w:rPr>
          <w:lang w:eastAsia="en-US"/>
        </w:rPr>
        <w:t>.</w:t>
      </w:r>
      <w:r w:rsidR="00590DB2">
        <w:rPr>
          <w:lang w:eastAsia="en-US"/>
        </w:rPr>
        <w:t>jūnija</w:t>
      </w:r>
      <w:r w:rsidRPr="00BD090F">
        <w:rPr>
          <w:lang w:eastAsia="en-US"/>
        </w:rPr>
        <w:t xml:space="preserve"> Ministri kabineta noteikumu Nr.</w:t>
      </w:r>
      <w:r w:rsidR="00590DB2">
        <w:rPr>
          <w:lang w:eastAsia="en-US"/>
        </w:rPr>
        <w:t>344</w:t>
      </w:r>
      <w:r w:rsidRPr="00BD090F">
        <w:rPr>
          <w:lang w:eastAsia="en-US"/>
        </w:rPr>
        <w:t xml:space="preserve"> „</w:t>
      </w:r>
      <w:r w:rsidR="00590DB2">
        <w:rPr>
          <w:lang w:eastAsia="en-US"/>
        </w:rPr>
        <w:t>Ceturkšņa pārskata sagatavošanas kārtība</w:t>
      </w:r>
      <w:r w:rsidRPr="00BD090F">
        <w:rPr>
          <w:lang w:eastAsia="en-US"/>
        </w:rPr>
        <w:t xml:space="preserve">” nosacījumiem, izvērtējot kapitālsabiedrību anketas par kapitālsabiedrības darbības turpināšanas principa piemērošanu. </w:t>
      </w:r>
      <w:r w:rsidRPr="00BD090F">
        <w:rPr>
          <w:lang w:eastAsia="en-US"/>
        </w:rPr>
        <w:t>Izvērtējuma</w:t>
      </w:r>
      <w:r w:rsidRPr="00BD090F">
        <w:rPr>
          <w:lang w:eastAsia="en-US"/>
        </w:rPr>
        <w:t xml:space="preserve"> gaitā par kapitālsabiedrību finansiālās darbības ietekmi uz budžeta iestādes izdevumiem tiek noteikts nepieciešamais finansējums nākamajiem trīs gadiem  pēc finanšu pārskata datuma, sadalījumā pa finansējuma avotiem, lai segtu kapitālsabiedrību negatīvo naudas plūsmu vai deleģēto funkciju veikšan</w:t>
      </w:r>
      <w:r w:rsidRPr="00BD090F">
        <w:rPr>
          <w:lang w:eastAsia="en-US"/>
        </w:rPr>
        <w:t xml:space="preserve">ai nepieciešamā finansējuma apmēru. </w:t>
      </w:r>
    </w:p>
    <w:p w:rsidR="00C81F6D" w:rsidRPr="00BD090F" w:rsidP="00C81F6D" w14:paraId="5153486C" w14:textId="77777777">
      <w:pPr>
        <w:jc w:val="both"/>
        <w:rPr>
          <w:lang w:eastAsia="en-US"/>
        </w:rPr>
      </w:pPr>
      <w:r w:rsidRPr="00BD090F">
        <w:rPr>
          <w:lang w:eastAsia="en-US"/>
        </w:rPr>
        <w:t>Papildus tiek izvērtēta kapitālsabiedrību stratēģijās iekļautā informācija par budžetu nākamajiem gadiem, attīstības un investīciju piesaistes iespējām, finanšu ieguldījumiem un to avotiem un citiem pasākumiem, kas palielina kapitālsabiedrību vērtību, kapitāla turpmāko atdevi, stabilu darbību un pakalpojumu sniegšanu, kā arī ņemot vērā peļņas prognozi.</w:t>
      </w:r>
    </w:p>
    <w:p w:rsidR="00C81F6D" w:rsidRPr="00BD090F" w:rsidP="00C81F6D" w14:paraId="030E3B31" w14:textId="77777777">
      <w:pPr>
        <w:jc w:val="both"/>
        <w:rPr>
          <w:lang w:eastAsia="en-US"/>
        </w:rPr>
      </w:pPr>
    </w:p>
    <w:p w:rsidR="00C81F6D" w:rsidP="002A1421" w14:paraId="5401861D" w14:textId="77777777">
      <w:pPr>
        <w:rPr>
          <w:b/>
          <w:lang w:eastAsia="en-US"/>
        </w:rPr>
      </w:pPr>
    </w:p>
    <w:p w:rsidR="002A1421" w:rsidRPr="00BD090F" w:rsidP="002A1421" w14:paraId="57F22BE4" w14:textId="77777777">
      <w:pPr>
        <w:rPr>
          <w:b/>
          <w:lang w:eastAsia="en-US"/>
        </w:rPr>
      </w:pPr>
    </w:p>
    <w:tbl>
      <w:tblPr>
        <w:tblW w:w="9300" w:type="dxa"/>
        <w:tblLayout w:type="fixed"/>
        <w:tblLook w:val="0000"/>
      </w:tblPr>
      <w:tblGrid>
        <w:gridCol w:w="4564"/>
        <w:gridCol w:w="4736"/>
      </w:tblGrid>
      <w:tr w14:paraId="47070DDB" w14:textId="77777777" w:rsidTr="003A03F7">
        <w:tblPrEx>
          <w:tblW w:w="9300" w:type="dxa"/>
          <w:tblLayout w:type="fixed"/>
          <w:tblLook w:val="0000"/>
        </w:tblPrEx>
        <w:tc>
          <w:tcPr>
            <w:tcW w:w="4564" w:type="dxa"/>
            <w:shd w:val="clear" w:color="auto" w:fill="FFFFFF"/>
          </w:tcPr>
          <w:p w:rsidR="00C81F6D" w:rsidP="002C3E06" w14:paraId="4EA70D1D" w14:textId="04A1E29B">
            <w:pPr>
              <w:tabs>
                <w:tab w:val="left" w:pos="1134"/>
              </w:tabs>
            </w:pPr>
            <w:r w:rsidRPr="00491A92">
              <w:t xml:space="preserve">Pašvaldības domes priekšsēdētāja </w:t>
            </w:r>
          </w:p>
        </w:tc>
        <w:tc>
          <w:tcPr>
            <w:tcW w:w="4736" w:type="dxa"/>
            <w:shd w:val="clear" w:color="auto" w:fill="FFFFFF"/>
          </w:tcPr>
          <w:p w:rsidR="00C81F6D" w:rsidP="002C3E06" w14:paraId="7A765237" w14:textId="42170ADD">
            <w:pPr>
              <w:tabs>
                <w:tab w:val="left" w:pos="1134"/>
              </w:tabs>
              <w:jc w:val="right"/>
            </w:pPr>
            <w:r>
              <w:t>Karīna Miķelsone</w:t>
            </w:r>
          </w:p>
          <w:p w:rsidR="00784271" w:rsidRPr="00784271" w:rsidP="00784271" w14:paraId="79AEEEAB" w14:textId="517F1A5E">
            <w:pPr>
              <w:tabs>
                <w:tab w:val="left" w:pos="1565"/>
              </w:tabs>
            </w:pPr>
            <w:r>
              <w:tab/>
            </w:r>
          </w:p>
        </w:tc>
      </w:tr>
    </w:tbl>
    <w:p w:rsidR="002A1421" w:rsidRPr="00DF4C71" w:rsidP="002A1421" w14:paraId="662DB552" w14:textId="77777777">
      <w:pPr>
        <w:jc w:val="center"/>
        <w:rPr>
          <w:color w:val="FF0000"/>
        </w:rPr>
      </w:pPr>
      <w:r w:rsidRPr="00DF4C71">
        <w:rPr>
          <w:rFonts w:eastAsia="Calibri"/>
        </w:rPr>
        <w:t>ŠIS DOKUMENTS IR ELEKTRONISKI PARAKSTĪTS AR DROŠU ELEKTRONISKO PARAKSTU UN SATUR LAIKA ZĪMOGU</w:t>
      </w:r>
    </w:p>
    <w:p w:rsidR="00C81F6D" w:rsidP="00C81F6D" w14:paraId="4C4C44E0" w14:textId="77777777">
      <w:pPr>
        <w:tabs>
          <w:tab w:val="left" w:pos="1134"/>
        </w:tabs>
      </w:pPr>
    </w:p>
    <w:p w:rsidR="002A1421" w:rsidP="00C81F6D" w14:paraId="15271488" w14:textId="77777777">
      <w:pPr>
        <w:tabs>
          <w:tab w:val="left" w:pos="1134"/>
        </w:tabs>
      </w:pPr>
    </w:p>
    <w:p w:rsidR="00C81F6D" w:rsidRPr="00CA5CCE" w:rsidP="00C81F6D" w14:paraId="54086EB3" w14:textId="28C0444B">
      <w:pPr>
        <w:tabs>
          <w:tab w:val="right" w:pos="9016"/>
        </w:tabs>
        <w:ind w:right="61"/>
        <w:jc w:val="both"/>
        <w:rPr>
          <w:sz w:val="20"/>
          <w:szCs w:val="20"/>
        </w:rPr>
      </w:pPr>
      <w:r w:rsidRPr="00CA5CCE">
        <w:rPr>
          <w:sz w:val="20"/>
          <w:szCs w:val="20"/>
        </w:rPr>
        <w:t>K.</w:t>
      </w:r>
      <w:r w:rsidR="003C4D5D">
        <w:rPr>
          <w:sz w:val="20"/>
          <w:szCs w:val="20"/>
        </w:rPr>
        <w:t xml:space="preserve"> </w:t>
      </w:r>
      <w:r w:rsidRPr="00CA5CCE">
        <w:rPr>
          <w:sz w:val="20"/>
          <w:szCs w:val="20"/>
        </w:rPr>
        <w:t>Kaspare</w:t>
      </w:r>
      <w:r>
        <w:rPr>
          <w:sz w:val="20"/>
          <w:szCs w:val="20"/>
        </w:rPr>
        <w:t xml:space="preserve"> </w:t>
      </w:r>
      <w:r w:rsidRPr="00CA5CCE" w:rsidR="00204D1D">
        <w:rPr>
          <w:sz w:val="20"/>
          <w:szCs w:val="20"/>
        </w:rPr>
        <w:t>26</w:t>
      </w:r>
      <w:r w:rsidR="0007661A">
        <w:rPr>
          <w:sz w:val="20"/>
          <w:szCs w:val="20"/>
        </w:rPr>
        <w:t>812466</w:t>
      </w:r>
    </w:p>
    <w:p w:rsidR="00C81F6D" w:rsidRPr="00CA5CCE" w:rsidP="00C81F6D" w14:paraId="628BA7A9" w14:textId="28F7C085">
      <w:pPr>
        <w:tabs>
          <w:tab w:val="right" w:pos="9016"/>
        </w:tabs>
        <w:ind w:right="61"/>
        <w:jc w:val="both"/>
      </w:pPr>
      <w:r>
        <w:rPr>
          <w:sz w:val="20"/>
          <w:szCs w:val="20"/>
        </w:rPr>
        <w:t>kristine.kaspare</w:t>
      </w:r>
      <w:r w:rsidRPr="00CA5CCE">
        <w:rPr>
          <w:sz w:val="20"/>
          <w:szCs w:val="20"/>
        </w:rPr>
        <w:t>@adaz</w:t>
      </w:r>
      <w:r>
        <w:rPr>
          <w:sz w:val="20"/>
          <w:szCs w:val="20"/>
        </w:rPr>
        <w:t>unovads</w:t>
      </w:r>
      <w:r w:rsidRPr="00CA5CCE">
        <w:rPr>
          <w:sz w:val="20"/>
          <w:szCs w:val="20"/>
        </w:rPr>
        <w:t>.lv</w:t>
      </w:r>
    </w:p>
    <w:sectPr w:rsidSect="0057285B">
      <w:headerReference w:type="even" r:id="rId5"/>
      <w:headerReference w:type="default" r:id="rId6"/>
      <w:footerReference w:type="even" r:id="rId7"/>
      <w:footerReference w:type="default" r:id="rId8"/>
      <w:headerReference w:type="first" r:id="rId9"/>
      <w:footerReference w:type="first" r:id="rId1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56A" w14:paraId="76F8BC8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075C1" w:rsidP="00A075C1" w14:paraId="007B5454" w14:textId="60EA251A">
    <w:pPr>
      <w:pStyle w:val="Footer"/>
      <w:spacing w:before="240"/>
      <w:jc w:val="center"/>
    </w:pPr>
    <w:r>
      <w:rPr>
        <w:sz w:val="20"/>
      </w:rPr>
      <w:t>Ādažu</w:t>
    </w:r>
    <w:r w:rsidRPr="00164DDA">
      <w:rPr>
        <w:sz w:val="20"/>
      </w:rPr>
      <w:t xml:space="preserve"> novada </w:t>
    </w:r>
    <w:r>
      <w:rPr>
        <w:sz w:val="20"/>
      </w:rPr>
      <w:t>pašvaldība</w:t>
    </w:r>
    <w:r w:rsidRPr="00164DDA">
      <w:rPr>
        <w:sz w:val="20"/>
      </w:rPr>
      <w:t xml:space="preserve">s </w:t>
    </w:r>
    <w:r w:rsidR="002F556A">
      <w:rPr>
        <w:sz w:val="20"/>
      </w:rPr>
      <w:t xml:space="preserve">konsolidētā gada pārskata </w:t>
    </w:r>
    <w:r w:rsidRPr="00164DDA">
      <w:rPr>
        <w:sz w:val="20"/>
      </w:rPr>
      <w:t>grāmatvedības uzskaites pamatprincipu apraksts</w:t>
    </w:r>
    <w:r>
      <w:rPr>
        <w:sz w:val="20"/>
      </w:rPr>
      <w:t xml:space="preserve"> </w:t>
    </w:r>
  </w:p>
  <w:p w:rsidR="00A075C1" w14:paraId="64AF77C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56A" w14:paraId="762EBB2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56A" w14:paraId="4FF3D34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56A" w14:paraId="3265776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F556A" w14:paraId="56500E0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19336ECA"/>
    <w:multiLevelType w:val="hybridMultilevel"/>
    <w:tmpl w:val="214A62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1">
    <w:nsid w:val="1CC327AC"/>
    <w:multiLevelType w:val="hybridMultilevel"/>
    <w:tmpl w:val="5D8889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33556A0"/>
    <w:multiLevelType w:val="hybridMultilevel"/>
    <w:tmpl w:val="00D082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15:restartNumberingAfterBreak="1">
    <w:nsid w:val="25B723FB"/>
    <w:multiLevelType w:val="hybridMultilevel"/>
    <w:tmpl w:val="B0E00C86"/>
    <w:lvl w:ilvl="0">
      <w:start w:val="1"/>
      <w:numFmt w:val="decimal"/>
      <w:lvlText w:val="%1."/>
      <w:lvlJc w:val="left"/>
      <w:pPr>
        <w:ind w:left="1080" w:hanging="360"/>
      </w:pPr>
      <w:rPr>
        <w:rFonts w:ascii="Times New Roman" w:eastAsia="Times New Roman" w:hAnsi="Times New Roman" w:cs="Times New Roman"/>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1">
    <w:nsid w:val="2EC034E3"/>
    <w:multiLevelType w:val="hybridMultilevel"/>
    <w:tmpl w:val="CFEE830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1">
    <w:nsid w:val="371903EC"/>
    <w:multiLevelType w:val="multilevel"/>
    <w:tmpl w:val="AA38B128"/>
    <w:lvl w:ilvl="0">
      <w:start w:val="2"/>
      <w:numFmt w:val="decimal"/>
      <w:lvlText w:val="%1."/>
      <w:lvlJc w:val="left"/>
      <w:pPr>
        <w:tabs>
          <w:tab w:val="num" w:pos="4613"/>
        </w:tabs>
        <w:ind w:left="4613" w:hanging="360"/>
      </w:pPr>
      <w:rPr>
        <w:rFonts w:hint="default"/>
        <w:b w:val="0"/>
        <w:sz w:val="24"/>
        <w:szCs w:val="28"/>
      </w:rPr>
    </w:lvl>
    <w:lvl w:ilvl="1">
      <w:start w:val="1"/>
      <w:numFmt w:val="decimal"/>
      <w:pStyle w:val="TOC2"/>
      <w:lvlText w:val="%1.%2."/>
      <w:lvlJc w:val="left"/>
      <w:pPr>
        <w:tabs>
          <w:tab w:val="num" w:pos="1992"/>
        </w:tabs>
        <w:ind w:left="1992" w:hanging="432"/>
      </w:pPr>
      <w:rPr>
        <w:rFonts w:hint="default"/>
        <w:b w:val="0"/>
        <w:sz w:val="24"/>
        <w:szCs w:val="28"/>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nsid w:val="380D7BDA"/>
    <w:multiLevelType w:val="hybridMultilevel"/>
    <w:tmpl w:val="3564B4D2"/>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7">
    <w:nsid w:val="3AA75346"/>
    <w:multiLevelType w:val="hybridMultilevel"/>
    <w:tmpl w:val="E7AC2D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EB85C35"/>
    <w:multiLevelType w:val="hybridMultilevel"/>
    <w:tmpl w:val="3A60F2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F2353D6"/>
    <w:multiLevelType w:val="hybridMultilevel"/>
    <w:tmpl w:val="F66C2BBE"/>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0" w15:restartNumberingAfterBreak="1">
    <w:nsid w:val="3F973C85"/>
    <w:multiLevelType w:val="hybridMultilevel"/>
    <w:tmpl w:val="7D44FE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1255880"/>
    <w:multiLevelType w:val="hybridMultilevel"/>
    <w:tmpl w:val="BF6ABD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493E1936"/>
    <w:multiLevelType w:val="hybridMultilevel"/>
    <w:tmpl w:val="A92209B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CB32E65"/>
    <w:multiLevelType w:val="hybridMultilevel"/>
    <w:tmpl w:val="3078DC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15:restartNumberingAfterBreak="1">
    <w:nsid w:val="54A45EA2"/>
    <w:multiLevelType w:val="multilevel"/>
    <w:tmpl w:val="36106DA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87016A1"/>
    <w:multiLevelType w:val="hybridMultilevel"/>
    <w:tmpl w:val="BB66CE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4CC3CF4"/>
    <w:multiLevelType w:val="hybridMultilevel"/>
    <w:tmpl w:val="37CE43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D6E583D"/>
    <w:multiLevelType w:val="hybridMultilevel"/>
    <w:tmpl w:val="7CCE53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3D33D3F"/>
    <w:multiLevelType w:val="multilevel"/>
    <w:tmpl w:val="69E054F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1">
    <w:nsid w:val="792E2947"/>
    <w:multiLevelType w:val="hybridMultilevel"/>
    <w:tmpl w:val="F9A6FE54"/>
    <w:lvl w:ilvl="0">
      <w:start w:val="1"/>
      <w:numFmt w:val="bullet"/>
      <w:lvlText w:val="-"/>
      <w:lvlJc w:val="left"/>
      <w:pPr>
        <w:ind w:left="1440" w:hanging="360"/>
      </w:pPr>
      <w:rPr>
        <w:rFonts w:ascii="Times New Roman" w:eastAsia="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C52161E"/>
    <w:multiLevelType w:val="hybridMultilevel"/>
    <w:tmpl w:val="83B0912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E4B4651"/>
    <w:multiLevelType w:val="hybridMultilevel"/>
    <w:tmpl w:val="B69E3F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196698299">
    <w:abstractNumId w:val="5"/>
  </w:num>
  <w:num w:numId="2" w16cid:durableId="541720815">
    <w:abstractNumId w:val="3"/>
  </w:num>
  <w:num w:numId="3" w16cid:durableId="451364297">
    <w:abstractNumId w:val="19"/>
  </w:num>
  <w:num w:numId="4" w16cid:durableId="1774129180">
    <w:abstractNumId w:val="14"/>
  </w:num>
  <w:num w:numId="5" w16cid:durableId="526331838">
    <w:abstractNumId w:val="4"/>
  </w:num>
  <w:num w:numId="6" w16cid:durableId="372073061">
    <w:abstractNumId w:val="0"/>
  </w:num>
  <w:num w:numId="7" w16cid:durableId="823668844">
    <w:abstractNumId w:val="10"/>
  </w:num>
  <w:num w:numId="8" w16cid:durableId="1625649424">
    <w:abstractNumId w:val="1"/>
  </w:num>
  <w:num w:numId="9" w16cid:durableId="1965235927">
    <w:abstractNumId w:val="15"/>
  </w:num>
  <w:num w:numId="10" w16cid:durableId="1675760797">
    <w:abstractNumId w:val="18"/>
  </w:num>
  <w:num w:numId="11" w16cid:durableId="1516797481">
    <w:abstractNumId w:val="9"/>
  </w:num>
  <w:num w:numId="12" w16cid:durableId="1839037427">
    <w:abstractNumId w:val="20"/>
  </w:num>
  <w:num w:numId="13" w16cid:durableId="1725716301">
    <w:abstractNumId w:val="21"/>
  </w:num>
  <w:num w:numId="14" w16cid:durableId="780489100">
    <w:abstractNumId w:val="7"/>
  </w:num>
  <w:num w:numId="15" w16cid:durableId="566572073">
    <w:abstractNumId w:val="12"/>
  </w:num>
  <w:num w:numId="16" w16cid:durableId="2141874294">
    <w:abstractNumId w:val="13"/>
  </w:num>
  <w:num w:numId="17" w16cid:durableId="632447424">
    <w:abstractNumId w:val="8"/>
  </w:num>
  <w:num w:numId="18" w16cid:durableId="1791632168">
    <w:abstractNumId w:val="17"/>
  </w:num>
  <w:num w:numId="19" w16cid:durableId="1618440554">
    <w:abstractNumId w:val="2"/>
  </w:num>
  <w:num w:numId="20" w16cid:durableId="1372652524">
    <w:abstractNumId w:val="16"/>
  </w:num>
  <w:num w:numId="21" w16cid:durableId="72817146">
    <w:abstractNumId w:val="11"/>
  </w:num>
  <w:num w:numId="22" w16cid:durableId="184948194">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grammar="clean"/>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E0"/>
    <w:rsid w:val="000160CB"/>
    <w:rsid w:val="0002550D"/>
    <w:rsid w:val="000354E5"/>
    <w:rsid w:val="000434F1"/>
    <w:rsid w:val="0005043B"/>
    <w:rsid w:val="0005507C"/>
    <w:rsid w:val="00057AEF"/>
    <w:rsid w:val="0006198A"/>
    <w:rsid w:val="0007661A"/>
    <w:rsid w:val="000B15E4"/>
    <w:rsid w:val="000B6AC8"/>
    <w:rsid w:val="000D3B45"/>
    <w:rsid w:val="000D5686"/>
    <w:rsid w:val="000E1FDD"/>
    <w:rsid w:val="000F2C18"/>
    <w:rsid w:val="000F45FB"/>
    <w:rsid w:val="00103DD3"/>
    <w:rsid w:val="0011111B"/>
    <w:rsid w:val="00117AB1"/>
    <w:rsid w:val="00123963"/>
    <w:rsid w:val="0013129E"/>
    <w:rsid w:val="001361CE"/>
    <w:rsid w:val="00140B84"/>
    <w:rsid w:val="00143292"/>
    <w:rsid w:val="00152547"/>
    <w:rsid w:val="00152653"/>
    <w:rsid w:val="00156DD1"/>
    <w:rsid w:val="00161A08"/>
    <w:rsid w:val="001636D7"/>
    <w:rsid w:val="00164DDA"/>
    <w:rsid w:val="001666B1"/>
    <w:rsid w:val="00186247"/>
    <w:rsid w:val="001863D3"/>
    <w:rsid w:val="001871E0"/>
    <w:rsid w:val="001B318F"/>
    <w:rsid w:val="001C071B"/>
    <w:rsid w:val="001C478F"/>
    <w:rsid w:val="001E17EB"/>
    <w:rsid w:val="001E6290"/>
    <w:rsid w:val="001E7BCF"/>
    <w:rsid w:val="001F1C11"/>
    <w:rsid w:val="001F4E4B"/>
    <w:rsid w:val="00202240"/>
    <w:rsid w:val="00204D1D"/>
    <w:rsid w:val="00211F3F"/>
    <w:rsid w:val="00221F89"/>
    <w:rsid w:val="0023295E"/>
    <w:rsid w:val="00242701"/>
    <w:rsid w:val="002569CF"/>
    <w:rsid w:val="00267685"/>
    <w:rsid w:val="00271ABA"/>
    <w:rsid w:val="00276191"/>
    <w:rsid w:val="0028318D"/>
    <w:rsid w:val="00297E95"/>
    <w:rsid w:val="002A1421"/>
    <w:rsid w:val="002A2FD2"/>
    <w:rsid w:val="002C3E06"/>
    <w:rsid w:val="002D0269"/>
    <w:rsid w:val="002D75A6"/>
    <w:rsid w:val="002E1465"/>
    <w:rsid w:val="002F065C"/>
    <w:rsid w:val="002F556A"/>
    <w:rsid w:val="003037CB"/>
    <w:rsid w:val="003309C0"/>
    <w:rsid w:val="00336CDA"/>
    <w:rsid w:val="0034212E"/>
    <w:rsid w:val="00351C87"/>
    <w:rsid w:val="003549C7"/>
    <w:rsid w:val="003924DD"/>
    <w:rsid w:val="003A03F7"/>
    <w:rsid w:val="003A05C8"/>
    <w:rsid w:val="003A7558"/>
    <w:rsid w:val="003B44A3"/>
    <w:rsid w:val="003B57CE"/>
    <w:rsid w:val="003C02B1"/>
    <w:rsid w:val="003C0D80"/>
    <w:rsid w:val="003C4D5D"/>
    <w:rsid w:val="003E2603"/>
    <w:rsid w:val="00406BAA"/>
    <w:rsid w:val="00420EFD"/>
    <w:rsid w:val="004528FC"/>
    <w:rsid w:val="0045459F"/>
    <w:rsid w:val="0046147B"/>
    <w:rsid w:val="00463373"/>
    <w:rsid w:val="00482EE2"/>
    <w:rsid w:val="00483C00"/>
    <w:rsid w:val="004871C8"/>
    <w:rsid w:val="00491A92"/>
    <w:rsid w:val="004A5725"/>
    <w:rsid w:val="004A7B46"/>
    <w:rsid w:val="004B7133"/>
    <w:rsid w:val="004B7F80"/>
    <w:rsid w:val="004C0B33"/>
    <w:rsid w:val="004C5A5B"/>
    <w:rsid w:val="004F7541"/>
    <w:rsid w:val="00501B0B"/>
    <w:rsid w:val="005046DD"/>
    <w:rsid w:val="005069BB"/>
    <w:rsid w:val="00506E20"/>
    <w:rsid w:val="00514CDE"/>
    <w:rsid w:val="00517EC5"/>
    <w:rsid w:val="00521536"/>
    <w:rsid w:val="00523793"/>
    <w:rsid w:val="005370CA"/>
    <w:rsid w:val="0055541F"/>
    <w:rsid w:val="00555F1E"/>
    <w:rsid w:val="0057285B"/>
    <w:rsid w:val="00580214"/>
    <w:rsid w:val="00590DB2"/>
    <w:rsid w:val="005A7BF7"/>
    <w:rsid w:val="005C1E29"/>
    <w:rsid w:val="005C6C3D"/>
    <w:rsid w:val="005D0DB9"/>
    <w:rsid w:val="005D0F47"/>
    <w:rsid w:val="005D3EA2"/>
    <w:rsid w:val="005F3F6B"/>
    <w:rsid w:val="006276D6"/>
    <w:rsid w:val="00634DB7"/>
    <w:rsid w:val="0065367E"/>
    <w:rsid w:val="0066297A"/>
    <w:rsid w:val="00662F3C"/>
    <w:rsid w:val="00667012"/>
    <w:rsid w:val="006816EE"/>
    <w:rsid w:val="00685CB3"/>
    <w:rsid w:val="00692DE1"/>
    <w:rsid w:val="006954FB"/>
    <w:rsid w:val="006A2AC3"/>
    <w:rsid w:val="006B6947"/>
    <w:rsid w:val="006D263F"/>
    <w:rsid w:val="006E0CB7"/>
    <w:rsid w:val="006E3732"/>
    <w:rsid w:val="006E425B"/>
    <w:rsid w:val="00717BD6"/>
    <w:rsid w:val="00727DC5"/>
    <w:rsid w:val="00734B7C"/>
    <w:rsid w:val="00745C9B"/>
    <w:rsid w:val="00752C86"/>
    <w:rsid w:val="00784271"/>
    <w:rsid w:val="007B31D5"/>
    <w:rsid w:val="007C074C"/>
    <w:rsid w:val="007C7F2F"/>
    <w:rsid w:val="007D1FE6"/>
    <w:rsid w:val="007D6654"/>
    <w:rsid w:val="007D6E2B"/>
    <w:rsid w:val="007D7D6E"/>
    <w:rsid w:val="007E5F89"/>
    <w:rsid w:val="007F42D7"/>
    <w:rsid w:val="00801CB6"/>
    <w:rsid w:val="008035B7"/>
    <w:rsid w:val="0082419E"/>
    <w:rsid w:val="00836F24"/>
    <w:rsid w:val="00854E87"/>
    <w:rsid w:val="008601F9"/>
    <w:rsid w:val="0087221B"/>
    <w:rsid w:val="0087779A"/>
    <w:rsid w:val="008A1F40"/>
    <w:rsid w:val="008B45FD"/>
    <w:rsid w:val="008E0ECE"/>
    <w:rsid w:val="00915ED4"/>
    <w:rsid w:val="00956644"/>
    <w:rsid w:val="00957210"/>
    <w:rsid w:val="00960B2E"/>
    <w:rsid w:val="00972FBF"/>
    <w:rsid w:val="009754C1"/>
    <w:rsid w:val="009841B3"/>
    <w:rsid w:val="00987DB0"/>
    <w:rsid w:val="009C25F4"/>
    <w:rsid w:val="009C4C28"/>
    <w:rsid w:val="009D75B3"/>
    <w:rsid w:val="009E0284"/>
    <w:rsid w:val="009E5B30"/>
    <w:rsid w:val="009F653D"/>
    <w:rsid w:val="009F7F7E"/>
    <w:rsid w:val="00A06A11"/>
    <w:rsid w:val="00A075C1"/>
    <w:rsid w:val="00A3244C"/>
    <w:rsid w:val="00A34AAB"/>
    <w:rsid w:val="00A34EF6"/>
    <w:rsid w:val="00A5060C"/>
    <w:rsid w:val="00A56568"/>
    <w:rsid w:val="00A64274"/>
    <w:rsid w:val="00A65E0B"/>
    <w:rsid w:val="00A73812"/>
    <w:rsid w:val="00A82153"/>
    <w:rsid w:val="00A964E7"/>
    <w:rsid w:val="00AA19FA"/>
    <w:rsid w:val="00AC168C"/>
    <w:rsid w:val="00AC58A4"/>
    <w:rsid w:val="00AC6362"/>
    <w:rsid w:val="00AD4F9C"/>
    <w:rsid w:val="00AE0F6A"/>
    <w:rsid w:val="00AF74E0"/>
    <w:rsid w:val="00AF7E2A"/>
    <w:rsid w:val="00B20AAA"/>
    <w:rsid w:val="00B21D82"/>
    <w:rsid w:val="00B33331"/>
    <w:rsid w:val="00B361AA"/>
    <w:rsid w:val="00B41147"/>
    <w:rsid w:val="00B5171D"/>
    <w:rsid w:val="00B57723"/>
    <w:rsid w:val="00B62E4F"/>
    <w:rsid w:val="00B83330"/>
    <w:rsid w:val="00B846EA"/>
    <w:rsid w:val="00B912C1"/>
    <w:rsid w:val="00BA4531"/>
    <w:rsid w:val="00BB04C8"/>
    <w:rsid w:val="00BC53CA"/>
    <w:rsid w:val="00BD090F"/>
    <w:rsid w:val="00BE3EDE"/>
    <w:rsid w:val="00BF037B"/>
    <w:rsid w:val="00BF2D51"/>
    <w:rsid w:val="00BF5BF8"/>
    <w:rsid w:val="00BF63AC"/>
    <w:rsid w:val="00C0249C"/>
    <w:rsid w:val="00C20992"/>
    <w:rsid w:val="00C261C6"/>
    <w:rsid w:val="00C50BDA"/>
    <w:rsid w:val="00C603DF"/>
    <w:rsid w:val="00C64C45"/>
    <w:rsid w:val="00C747BA"/>
    <w:rsid w:val="00C81F6D"/>
    <w:rsid w:val="00C835DC"/>
    <w:rsid w:val="00CA5CCE"/>
    <w:rsid w:val="00CA7C1C"/>
    <w:rsid w:val="00CB2273"/>
    <w:rsid w:val="00CD1CB3"/>
    <w:rsid w:val="00CD560E"/>
    <w:rsid w:val="00CF1F7D"/>
    <w:rsid w:val="00D044B4"/>
    <w:rsid w:val="00D446D5"/>
    <w:rsid w:val="00D62CD2"/>
    <w:rsid w:val="00D6341B"/>
    <w:rsid w:val="00D65EFB"/>
    <w:rsid w:val="00D71197"/>
    <w:rsid w:val="00D857EB"/>
    <w:rsid w:val="00DA50B6"/>
    <w:rsid w:val="00DD6D3E"/>
    <w:rsid w:val="00DF4C71"/>
    <w:rsid w:val="00DF4F33"/>
    <w:rsid w:val="00DF51B6"/>
    <w:rsid w:val="00E009F6"/>
    <w:rsid w:val="00E13F34"/>
    <w:rsid w:val="00E1562A"/>
    <w:rsid w:val="00E1701D"/>
    <w:rsid w:val="00E17CBB"/>
    <w:rsid w:val="00E24479"/>
    <w:rsid w:val="00E24C66"/>
    <w:rsid w:val="00E25159"/>
    <w:rsid w:val="00E516C8"/>
    <w:rsid w:val="00E55D21"/>
    <w:rsid w:val="00E6795B"/>
    <w:rsid w:val="00EC053A"/>
    <w:rsid w:val="00EE1822"/>
    <w:rsid w:val="00EF09A5"/>
    <w:rsid w:val="00F14F3E"/>
    <w:rsid w:val="00F1713C"/>
    <w:rsid w:val="00F61618"/>
    <w:rsid w:val="00F64ECD"/>
    <w:rsid w:val="00F70499"/>
    <w:rsid w:val="00F74B7E"/>
    <w:rsid w:val="00F8141E"/>
    <w:rsid w:val="00F82A36"/>
    <w:rsid w:val="00F9054E"/>
    <w:rsid w:val="00FB6FCA"/>
    <w:rsid w:val="00FB75CA"/>
    <w:rsid w:val="00FC7CC9"/>
    <w:rsid w:val="00FD3E91"/>
    <w:rsid w:val="00FE05ED"/>
    <w:rsid w:val="00FE0F4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4EB17E8A"/>
  <w15:docId w15:val="{F8B79D3E-B636-461F-A2F4-B03637E7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6BAA"/>
    <w:rPr>
      <w:color w:val="0000FF"/>
      <w:u w:val="single"/>
    </w:rPr>
  </w:style>
  <w:style w:type="paragraph" w:styleId="BalloonText">
    <w:name w:val="Balloon Text"/>
    <w:basedOn w:val="Normal"/>
    <w:link w:val="BalloonTextChar"/>
    <w:rsid w:val="00276191"/>
    <w:rPr>
      <w:rFonts w:ascii="Tahoma" w:hAnsi="Tahoma" w:cs="Tahoma"/>
      <w:sz w:val="16"/>
      <w:szCs w:val="16"/>
    </w:rPr>
  </w:style>
  <w:style w:type="character" w:customStyle="1" w:styleId="BalloonTextChar">
    <w:name w:val="Balloon Text Char"/>
    <w:basedOn w:val="DefaultParagraphFont"/>
    <w:link w:val="BalloonText"/>
    <w:rsid w:val="00276191"/>
    <w:rPr>
      <w:rFonts w:ascii="Tahoma" w:hAnsi="Tahoma" w:cs="Tahoma"/>
      <w:sz w:val="16"/>
      <w:szCs w:val="16"/>
    </w:rPr>
  </w:style>
  <w:style w:type="paragraph" w:styleId="NoSpacing">
    <w:name w:val="No Spacing"/>
    <w:uiPriority w:val="1"/>
    <w:qFormat/>
    <w:rsid w:val="002569CF"/>
    <w:pPr>
      <w:widowControl w:val="0"/>
    </w:pPr>
    <w:rPr>
      <w:rFonts w:ascii="Calibri" w:eastAsia="Calibri" w:hAnsi="Calibri"/>
      <w:sz w:val="22"/>
      <w:szCs w:val="22"/>
      <w:lang w:val="en-US" w:eastAsia="en-US"/>
    </w:rPr>
  </w:style>
  <w:style w:type="paragraph" w:customStyle="1" w:styleId="Heading">
    <w:name w:val="Heading"/>
    <w:basedOn w:val="Normal"/>
    <w:next w:val="BodyText"/>
    <w:rsid w:val="00C81F6D"/>
    <w:pPr>
      <w:keepNext/>
      <w:suppressAutoHyphens/>
      <w:spacing w:before="240" w:after="120"/>
    </w:pPr>
    <w:rPr>
      <w:rFonts w:ascii="Arial" w:eastAsia="Microsoft YaHei" w:hAnsi="Arial" w:cs="Lucida Sans"/>
      <w:sz w:val="28"/>
      <w:szCs w:val="28"/>
      <w:lang w:eastAsia="ar-SA"/>
    </w:rPr>
  </w:style>
  <w:style w:type="paragraph" w:styleId="BodyText">
    <w:name w:val="Body Text"/>
    <w:basedOn w:val="Normal"/>
    <w:link w:val="BodyTextChar"/>
    <w:rsid w:val="00C81F6D"/>
    <w:pPr>
      <w:suppressAutoHyphens/>
      <w:spacing w:after="120"/>
    </w:pPr>
    <w:rPr>
      <w:lang w:eastAsia="ar-SA"/>
    </w:rPr>
  </w:style>
  <w:style w:type="character" w:customStyle="1" w:styleId="BodyTextChar">
    <w:name w:val="Body Text Char"/>
    <w:basedOn w:val="DefaultParagraphFont"/>
    <w:link w:val="BodyText"/>
    <w:rsid w:val="00C81F6D"/>
    <w:rPr>
      <w:sz w:val="24"/>
      <w:szCs w:val="24"/>
      <w:lang w:eastAsia="ar-SA"/>
    </w:rPr>
  </w:style>
  <w:style w:type="paragraph" w:styleId="List">
    <w:name w:val="List"/>
    <w:basedOn w:val="BodyText"/>
    <w:rsid w:val="00C81F6D"/>
    <w:rPr>
      <w:rFonts w:cs="Lucida Sans"/>
    </w:rPr>
  </w:style>
  <w:style w:type="paragraph" w:styleId="Caption">
    <w:name w:val="caption"/>
    <w:basedOn w:val="Normal"/>
    <w:qFormat/>
    <w:rsid w:val="00C81F6D"/>
    <w:pPr>
      <w:suppressLineNumbers/>
      <w:suppressAutoHyphens/>
      <w:spacing w:before="120" w:after="120"/>
    </w:pPr>
    <w:rPr>
      <w:rFonts w:cs="Lucida Sans"/>
      <w:i/>
      <w:iCs/>
      <w:lang w:eastAsia="ar-SA"/>
    </w:rPr>
  </w:style>
  <w:style w:type="paragraph" w:customStyle="1" w:styleId="Index">
    <w:name w:val="Index"/>
    <w:basedOn w:val="Normal"/>
    <w:rsid w:val="00C81F6D"/>
    <w:pPr>
      <w:suppressLineNumbers/>
      <w:suppressAutoHyphens/>
    </w:pPr>
    <w:rPr>
      <w:rFonts w:cs="Lucida Sans"/>
      <w:lang w:eastAsia="ar-SA"/>
    </w:rPr>
  </w:style>
  <w:style w:type="numbering" w:customStyle="1" w:styleId="NoList1">
    <w:name w:val="No List1"/>
    <w:next w:val="NoList"/>
    <w:semiHidden/>
    <w:unhideWhenUsed/>
    <w:rsid w:val="00C81F6D"/>
  </w:style>
  <w:style w:type="paragraph" w:customStyle="1" w:styleId="NoSpacing1">
    <w:name w:val="No Spacing1"/>
    <w:qFormat/>
    <w:rsid w:val="00C81F6D"/>
    <w:rPr>
      <w:rFonts w:eastAsia="Calibri"/>
      <w:sz w:val="24"/>
      <w:szCs w:val="24"/>
      <w:lang w:eastAsia="en-US"/>
    </w:rPr>
  </w:style>
  <w:style w:type="paragraph" w:styleId="Header">
    <w:name w:val="header"/>
    <w:basedOn w:val="Normal"/>
    <w:link w:val="HeaderChar"/>
    <w:unhideWhenUsed/>
    <w:rsid w:val="00C81F6D"/>
    <w:pPr>
      <w:tabs>
        <w:tab w:val="center" w:pos="4320"/>
        <w:tab w:val="right" w:pos="8640"/>
      </w:tabs>
    </w:pPr>
    <w:rPr>
      <w:lang w:eastAsia="ru-RU"/>
    </w:rPr>
  </w:style>
  <w:style w:type="character" w:customStyle="1" w:styleId="HeaderChar">
    <w:name w:val="Header Char"/>
    <w:basedOn w:val="DefaultParagraphFont"/>
    <w:link w:val="Header"/>
    <w:rsid w:val="00C81F6D"/>
    <w:rPr>
      <w:sz w:val="24"/>
      <w:szCs w:val="24"/>
      <w:lang w:eastAsia="ru-RU"/>
    </w:rPr>
  </w:style>
  <w:style w:type="paragraph" w:styleId="Footer">
    <w:name w:val="footer"/>
    <w:basedOn w:val="Normal"/>
    <w:link w:val="FooterChar"/>
    <w:uiPriority w:val="99"/>
    <w:unhideWhenUsed/>
    <w:rsid w:val="00C81F6D"/>
    <w:pPr>
      <w:tabs>
        <w:tab w:val="center" w:pos="4320"/>
        <w:tab w:val="right" w:pos="8640"/>
      </w:tabs>
    </w:pPr>
    <w:rPr>
      <w:lang w:eastAsia="ru-RU"/>
    </w:rPr>
  </w:style>
  <w:style w:type="character" w:customStyle="1" w:styleId="FooterChar">
    <w:name w:val="Footer Char"/>
    <w:basedOn w:val="DefaultParagraphFont"/>
    <w:link w:val="Footer"/>
    <w:uiPriority w:val="99"/>
    <w:rsid w:val="00C81F6D"/>
    <w:rPr>
      <w:sz w:val="24"/>
      <w:szCs w:val="24"/>
      <w:lang w:eastAsia="ru-RU"/>
    </w:rPr>
  </w:style>
  <w:style w:type="paragraph" w:styleId="CommentText">
    <w:name w:val="annotation text"/>
    <w:basedOn w:val="Normal"/>
    <w:link w:val="CommentTextChar"/>
    <w:semiHidden/>
    <w:unhideWhenUsed/>
    <w:rsid w:val="00C81F6D"/>
    <w:rPr>
      <w:sz w:val="20"/>
      <w:szCs w:val="20"/>
      <w:lang w:eastAsia="ru-RU"/>
    </w:rPr>
  </w:style>
  <w:style w:type="character" w:customStyle="1" w:styleId="CommentTextChar">
    <w:name w:val="Comment Text Char"/>
    <w:basedOn w:val="DefaultParagraphFont"/>
    <w:link w:val="CommentText"/>
    <w:semiHidden/>
    <w:rsid w:val="00C81F6D"/>
    <w:rPr>
      <w:lang w:eastAsia="ru-RU"/>
    </w:rPr>
  </w:style>
  <w:style w:type="paragraph" w:styleId="CommentSubject">
    <w:name w:val="annotation subject"/>
    <w:basedOn w:val="CommentText"/>
    <w:next w:val="CommentText"/>
    <w:link w:val="CommentSubjectChar"/>
    <w:semiHidden/>
    <w:unhideWhenUsed/>
    <w:rsid w:val="00C81F6D"/>
    <w:rPr>
      <w:b/>
      <w:bCs/>
    </w:rPr>
  </w:style>
  <w:style w:type="character" w:customStyle="1" w:styleId="CommentSubjectChar">
    <w:name w:val="Comment Subject Char"/>
    <w:basedOn w:val="CommentTextChar"/>
    <w:link w:val="CommentSubject"/>
    <w:semiHidden/>
    <w:rsid w:val="00C81F6D"/>
    <w:rPr>
      <w:b/>
      <w:bCs/>
      <w:lang w:eastAsia="ru-RU"/>
    </w:rPr>
  </w:style>
  <w:style w:type="paragraph" w:styleId="EndnoteText">
    <w:name w:val="endnote text"/>
    <w:basedOn w:val="Normal"/>
    <w:link w:val="EndnoteTextChar"/>
    <w:semiHidden/>
    <w:unhideWhenUsed/>
    <w:rsid w:val="00C81F6D"/>
    <w:rPr>
      <w:sz w:val="20"/>
      <w:szCs w:val="20"/>
      <w:lang w:eastAsia="ru-RU"/>
    </w:rPr>
  </w:style>
  <w:style w:type="character" w:customStyle="1" w:styleId="EndnoteTextChar">
    <w:name w:val="Endnote Text Char"/>
    <w:basedOn w:val="DefaultParagraphFont"/>
    <w:link w:val="EndnoteText"/>
    <w:semiHidden/>
    <w:rsid w:val="00C81F6D"/>
    <w:rPr>
      <w:lang w:eastAsia="ru-RU"/>
    </w:rPr>
  </w:style>
  <w:style w:type="paragraph" w:styleId="FootnoteText">
    <w:name w:val="footnote text"/>
    <w:basedOn w:val="Normal"/>
    <w:link w:val="FootnoteTextChar"/>
    <w:semiHidden/>
    <w:unhideWhenUsed/>
    <w:rsid w:val="00C81F6D"/>
    <w:rPr>
      <w:sz w:val="20"/>
      <w:szCs w:val="20"/>
      <w:lang w:eastAsia="ru-RU"/>
    </w:rPr>
  </w:style>
  <w:style w:type="character" w:customStyle="1" w:styleId="FootnoteTextChar">
    <w:name w:val="Footnote Text Char"/>
    <w:basedOn w:val="DefaultParagraphFont"/>
    <w:link w:val="FootnoteText"/>
    <w:semiHidden/>
    <w:rsid w:val="00C81F6D"/>
    <w:rPr>
      <w:lang w:eastAsia="ru-RU"/>
    </w:rPr>
  </w:style>
  <w:style w:type="character" w:styleId="PageNumber">
    <w:name w:val="page number"/>
    <w:basedOn w:val="DefaultParagraphFont"/>
    <w:rsid w:val="00C81F6D"/>
  </w:style>
  <w:style w:type="paragraph" w:styleId="NormalWeb">
    <w:name w:val="Normal (Web)"/>
    <w:basedOn w:val="Normal"/>
    <w:rsid w:val="00C81F6D"/>
    <w:pPr>
      <w:spacing w:before="100" w:beforeAutospacing="1" w:after="100" w:afterAutospacing="1"/>
    </w:pPr>
  </w:style>
  <w:style w:type="character" w:styleId="CommentReference">
    <w:name w:val="annotation reference"/>
    <w:rsid w:val="00C81F6D"/>
    <w:rPr>
      <w:sz w:val="16"/>
      <w:szCs w:val="16"/>
    </w:rPr>
  </w:style>
  <w:style w:type="paragraph" w:customStyle="1" w:styleId="labojumupamats1">
    <w:name w:val="labojumu_pamats1"/>
    <w:basedOn w:val="Normal"/>
    <w:rsid w:val="00C81F6D"/>
    <w:pPr>
      <w:spacing w:before="45" w:line="360" w:lineRule="auto"/>
      <w:ind w:firstLine="300"/>
    </w:pPr>
    <w:rPr>
      <w:i/>
      <w:iCs/>
      <w:color w:val="414142"/>
      <w:sz w:val="20"/>
      <w:szCs w:val="20"/>
    </w:rPr>
  </w:style>
  <w:style w:type="paragraph" w:styleId="ListParagraph">
    <w:name w:val="List Paragraph"/>
    <w:basedOn w:val="Normal"/>
    <w:qFormat/>
    <w:rsid w:val="00C81F6D"/>
    <w:pPr>
      <w:ind w:left="720"/>
    </w:pPr>
    <w:rPr>
      <w:lang w:eastAsia="en-US"/>
    </w:rPr>
  </w:style>
  <w:style w:type="paragraph" w:styleId="TOC2">
    <w:name w:val="toc 2"/>
    <w:basedOn w:val="Normal"/>
    <w:next w:val="Normal"/>
    <w:autoRedefine/>
    <w:rsid w:val="00C81F6D"/>
    <w:pPr>
      <w:numPr>
        <w:ilvl w:val="1"/>
        <w:numId w:val="1"/>
      </w:numPr>
      <w:tabs>
        <w:tab w:val="left" w:pos="0"/>
        <w:tab w:val="clear" w:pos="1992"/>
      </w:tabs>
      <w:spacing w:before="120" w:after="120"/>
      <w:ind w:left="0" w:firstLine="284"/>
      <w:jc w:val="both"/>
    </w:pPr>
    <w:rPr>
      <w:lang w:eastAsia="en-US"/>
    </w:rPr>
  </w:style>
  <w:style w:type="table" w:styleId="TableGrid">
    <w:name w:val="Table Grid"/>
    <w:basedOn w:val="TableNormal"/>
    <w:rsid w:val="00C81F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limenis2">
    <w:name w:val="tv213 limenis2"/>
    <w:basedOn w:val="Normal"/>
    <w:semiHidden/>
    <w:rsid w:val="00211F3F"/>
    <w:pPr>
      <w:spacing w:before="100" w:beforeAutospacing="1" w:after="100" w:afterAutospacing="1"/>
    </w:pPr>
    <w:rPr>
      <w:rFonts w:ascii="Arial Unicode MS" w:eastAsia="Arial Unicode MS" w:hAnsi="Arial Unicode MS" w:cs="Arial Unicode MS"/>
      <w:lang w:val="en-GB" w:eastAsia="en-US"/>
    </w:rPr>
  </w:style>
  <w:style w:type="paragraph" w:customStyle="1" w:styleId="tv213limenis3">
    <w:name w:val="tv213 limenis3"/>
    <w:basedOn w:val="Normal"/>
    <w:semiHidden/>
    <w:rsid w:val="00211F3F"/>
    <w:pPr>
      <w:spacing w:before="100" w:beforeAutospacing="1" w:after="100" w:afterAutospacing="1"/>
    </w:pPr>
    <w:rPr>
      <w:rFonts w:ascii="Arial Unicode MS" w:eastAsia="Arial Unicode MS" w:hAnsi="Arial Unicode MS" w:cs="Arial Unicode MS"/>
      <w:lang w:val="en-GB" w:eastAsia="en-US"/>
    </w:rPr>
  </w:style>
  <w:style w:type="paragraph" w:customStyle="1" w:styleId="tv213tvp">
    <w:name w:val="tv213 tvp"/>
    <w:basedOn w:val="Normal"/>
    <w:semiHidden/>
    <w:rsid w:val="00211F3F"/>
    <w:pPr>
      <w:spacing w:before="100" w:beforeAutospacing="1" w:after="100" w:afterAutospacing="1"/>
    </w:pPr>
    <w:rPr>
      <w:rFonts w:ascii="Arial Unicode MS" w:eastAsia="Arial Unicode MS" w:hAnsi="Arial Unicode MS" w:cs="Arial Unicode MS"/>
      <w:lang w:val="en-GB" w:eastAsia="en-US"/>
    </w:rPr>
  </w:style>
  <w:style w:type="character" w:styleId="Emphasis">
    <w:name w:val="Emphasis"/>
    <w:basedOn w:val="DefaultParagraphFont"/>
    <w:qFormat/>
    <w:rsid w:val="00211F3F"/>
    <w:rPr>
      <w:i/>
      <w:iCs/>
    </w:rPr>
  </w:style>
  <w:style w:type="character" w:styleId="UnresolvedMention">
    <w:name w:val="Unresolved Mention"/>
    <w:basedOn w:val="DefaultParagraphFont"/>
    <w:uiPriority w:val="99"/>
    <w:semiHidden/>
    <w:unhideWhenUsed/>
    <w:rsid w:val="00717BD6"/>
    <w:rPr>
      <w:color w:val="605E5C"/>
      <w:shd w:val="clear" w:color="auto" w:fill="E1DFDD"/>
    </w:rPr>
  </w:style>
  <w:style w:type="paragraph" w:customStyle="1" w:styleId="Default">
    <w:name w:val="Default"/>
    <w:rsid w:val="006816EE"/>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Jevgenija.Sviridenko\AppData\Roaming\Microsoft\Templates\and_veidlapa_vestulem_mb.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and_veidlapa_vestulem_mb</Template>
  <TotalTime>2</TotalTime>
  <Pages>9</Pages>
  <Words>17277</Words>
  <Characters>9848</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27071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Sintija Tenisa</cp:lastModifiedBy>
  <cp:revision>4</cp:revision>
  <dcterms:created xsi:type="dcterms:W3CDTF">2025-03-24T07:15:00Z</dcterms:created>
  <dcterms:modified xsi:type="dcterms:W3CDTF">2025-03-24T07:16:00Z</dcterms:modified>
</cp:coreProperties>
</file>