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E8DD" w14:textId="5C6C0190" w:rsidR="006F4C61" w:rsidRDefault="00433B67">
      <w:r>
        <w:rPr>
          <w:noProof/>
        </w:rPr>
        <w:drawing>
          <wp:inline distT="0" distB="0" distL="0" distR="0" wp14:anchorId="2F143EE4" wp14:editId="788DFAF8">
            <wp:extent cx="5727700" cy="116840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1999A16" w14:textId="77777777" w:rsidR="00DA3424" w:rsidRDefault="00DA3424" w:rsidP="00DA3424">
      <w:pPr>
        <w:spacing w:after="0" w:line="240" w:lineRule="auto"/>
        <w:jc w:val="right"/>
        <w:rPr>
          <w:rFonts w:ascii="Times New Roman" w:hAnsi="Times New Roman"/>
          <w:sz w:val="24"/>
          <w:szCs w:val="24"/>
        </w:rPr>
      </w:pPr>
      <w:r>
        <w:rPr>
          <w:rFonts w:ascii="Times New Roman" w:hAnsi="Times New Roman"/>
          <w:sz w:val="24"/>
          <w:szCs w:val="24"/>
        </w:rPr>
        <w:t>APSTIPRINĀTI</w:t>
      </w:r>
    </w:p>
    <w:p w14:paraId="6CB90F23" w14:textId="77777777" w:rsidR="00DA3424" w:rsidRDefault="00DA3424" w:rsidP="00DA3424">
      <w:pPr>
        <w:spacing w:after="0" w:line="240" w:lineRule="auto"/>
        <w:jc w:val="right"/>
        <w:rPr>
          <w:rFonts w:ascii="Times New Roman" w:hAnsi="Times New Roman"/>
          <w:sz w:val="24"/>
          <w:szCs w:val="24"/>
        </w:rPr>
      </w:pPr>
      <w:r>
        <w:rPr>
          <w:rFonts w:ascii="Times New Roman" w:hAnsi="Times New Roman"/>
          <w:sz w:val="24"/>
          <w:szCs w:val="24"/>
        </w:rPr>
        <w:t xml:space="preserve">ar Ādažu novada pašvaldības domes </w:t>
      </w:r>
    </w:p>
    <w:p w14:paraId="1286A70E" w14:textId="77777777" w:rsidR="00DA3424" w:rsidRDefault="00DA3424" w:rsidP="00DA3424">
      <w:pPr>
        <w:spacing w:after="0" w:line="240" w:lineRule="auto"/>
        <w:jc w:val="right"/>
        <w:rPr>
          <w:rFonts w:ascii="Times New Roman" w:hAnsi="Times New Roman"/>
          <w:sz w:val="24"/>
          <w:szCs w:val="24"/>
        </w:rPr>
      </w:pPr>
      <w:r>
        <w:rPr>
          <w:rFonts w:ascii="Times New Roman" w:hAnsi="Times New Roman"/>
          <w:sz w:val="24"/>
          <w:szCs w:val="24"/>
        </w:rPr>
        <w:t xml:space="preserve">2023. gada 22. marta sēdes lēmumu </w:t>
      </w:r>
    </w:p>
    <w:p w14:paraId="52C388F2" w14:textId="3F580A90" w:rsidR="00DA3424" w:rsidRDefault="00DA3424" w:rsidP="00DA3424">
      <w:pPr>
        <w:spacing w:after="0" w:line="240" w:lineRule="auto"/>
        <w:jc w:val="right"/>
        <w:rPr>
          <w:rFonts w:ascii="Times New Roman" w:hAnsi="Times New Roman"/>
          <w:sz w:val="24"/>
          <w:szCs w:val="24"/>
        </w:rPr>
      </w:pPr>
      <w:bookmarkStart w:id="0" w:name="_Hlk90469929"/>
      <w:r>
        <w:rPr>
          <w:rFonts w:ascii="Times New Roman" w:hAnsi="Times New Roman"/>
          <w:sz w:val="24"/>
          <w:szCs w:val="24"/>
        </w:rPr>
        <w:t>(</w:t>
      </w:r>
      <w:r>
        <w:rPr>
          <w:rFonts w:ascii="Times New Roman" w:eastAsia="Calibri" w:hAnsi="Times New Roman"/>
          <w:sz w:val="24"/>
          <w:lang w:bidi="en-US"/>
        </w:rPr>
        <w:t>protokols Nr. 5 § 39</w:t>
      </w:r>
      <w:r>
        <w:rPr>
          <w:rFonts w:ascii="Times New Roman" w:hAnsi="Times New Roman"/>
          <w:sz w:val="24"/>
          <w:szCs w:val="24"/>
        </w:rPr>
        <w:t>)</w:t>
      </w:r>
      <w:bookmarkEnd w:id="0"/>
    </w:p>
    <w:p w14:paraId="1F5C3EAE" w14:textId="5B8C0B39" w:rsidR="001B3C75" w:rsidRPr="001B3C75" w:rsidRDefault="001B3C75" w:rsidP="001B3C75">
      <w:pPr>
        <w:spacing w:after="0" w:line="240" w:lineRule="auto"/>
        <w:jc w:val="right"/>
        <w:rPr>
          <w:rFonts w:ascii="Times New Roman" w:eastAsia="Calibri" w:hAnsi="Times New Roman" w:cs="Times New Roman"/>
          <w:sz w:val="24"/>
          <w:szCs w:val="24"/>
        </w:rPr>
      </w:pPr>
    </w:p>
    <w:p w14:paraId="1E59A7B8" w14:textId="77777777" w:rsidR="007F0A23" w:rsidRPr="007F0A23" w:rsidRDefault="007F0A23" w:rsidP="0049136D">
      <w:pPr>
        <w:spacing w:after="0" w:line="240" w:lineRule="auto"/>
        <w:ind w:right="-1"/>
        <w:jc w:val="center"/>
        <w:rPr>
          <w:rFonts w:ascii="Times New Roman" w:eastAsia="Times New Roman" w:hAnsi="Times New Roman" w:cs="Times New Roman"/>
          <w:bCs/>
          <w:sz w:val="28"/>
          <w:szCs w:val="28"/>
          <w:lang w:eastAsia="lv-LV"/>
        </w:rPr>
      </w:pPr>
      <w:r w:rsidRPr="007F0A23">
        <w:rPr>
          <w:rFonts w:ascii="Times New Roman" w:eastAsia="Times New Roman" w:hAnsi="Times New Roman" w:cs="Times New Roman"/>
          <w:sz w:val="28"/>
          <w:szCs w:val="28"/>
          <w:lang w:eastAsia="lv-LV"/>
        </w:rPr>
        <w:t>NOTEIKUMI</w:t>
      </w:r>
    </w:p>
    <w:p w14:paraId="70840194" w14:textId="77777777" w:rsidR="007F0A23" w:rsidRPr="007F0A23" w:rsidRDefault="007F0A23" w:rsidP="00F92062">
      <w:pPr>
        <w:spacing w:after="0" w:line="240" w:lineRule="auto"/>
        <w:ind w:right="-1"/>
        <w:jc w:val="center"/>
        <w:rPr>
          <w:rFonts w:ascii="Times New Roman" w:eastAsia="Times New Roman" w:hAnsi="Times New Roman" w:cs="Times New Roman"/>
          <w:bCs/>
          <w:sz w:val="24"/>
          <w:szCs w:val="24"/>
          <w:lang w:eastAsia="lv-LV"/>
        </w:rPr>
      </w:pPr>
      <w:r w:rsidRPr="007F0A23">
        <w:rPr>
          <w:rFonts w:ascii="Times New Roman" w:eastAsia="Times New Roman" w:hAnsi="Times New Roman" w:cs="Times New Roman"/>
          <w:bCs/>
          <w:sz w:val="24"/>
          <w:szCs w:val="24"/>
          <w:lang w:eastAsia="lv-LV"/>
        </w:rPr>
        <w:t>Ādažos, Ādažu novadā</w:t>
      </w:r>
    </w:p>
    <w:p w14:paraId="133D6C66" w14:textId="77777777" w:rsidR="007F0A23" w:rsidRPr="007F0A23" w:rsidRDefault="007F0A23" w:rsidP="00F92062">
      <w:pPr>
        <w:spacing w:after="0" w:line="240" w:lineRule="auto"/>
        <w:ind w:right="-1"/>
        <w:rPr>
          <w:rFonts w:ascii="Times New Roman" w:eastAsia="Times New Roman" w:hAnsi="Times New Roman" w:cs="Times New Roman"/>
          <w:bCs/>
          <w:sz w:val="24"/>
          <w:szCs w:val="24"/>
          <w:lang w:eastAsia="lv-LV"/>
        </w:rPr>
      </w:pPr>
      <w:r w:rsidRPr="007F0A23">
        <w:rPr>
          <w:rFonts w:ascii="Times New Roman" w:eastAsia="Times New Roman" w:hAnsi="Times New Roman" w:cs="Times New Roman"/>
          <w:bCs/>
          <w:sz w:val="24"/>
          <w:szCs w:val="24"/>
          <w:lang w:eastAsia="lv-LV"/>
        </w:rPr>
        <w:t xml:space="preserve"> </w:t>
      </w:r>
    </w:p>
    <w:p w14:paraId="3674529B" w14:textId="582DC997" w:rsidR="007F0A23" w:rsidRDefault="007F0A23" w:rsidP="00F92062">
      <w:pPr>
        <w:spacing w:after="0" w:line="240" w:lineRule="auto"/>
        <w:ind w:right="-1"/>
        <w:rPr>
          <w:rFonts w:ascii="Times New Roman" w:eastAsia="Times New Roman" w:hAnsi="Times New Roman" w:cs="Times New Roman"/>
          <w:b/>
          <w:bCs/>
          <w:sz w:val="24"/>
          <w:szCs w:val="24"/>
          <w:lang w:eastAsia="lv-LV"/>
        </w:rPr>
      </w:pPr>
      <w:r w:rsidRPr="007F0A23">
        <w:rPr>
          <w:rFonts w:ascii="Times New Roman" w:eastAsia="Times New Roman" w:hAnsi="Times New Roman" w:cs="Times New Roman"/>
          <w:bCs/>
          <w:sz w:val="24"/>
          <w:szCs w:val="24"/>
          <w:lang w:eastAsia="lv-LV"/>
        </w:rPr>
        <w:t>202</w:t>
      </w:r>
      <w:r w:rsidR="001E6281">
        <w:rPr>
          <w:rFonts w:ascii="Times New Roman" w:eastAsia="Times New Roman" w:hAnsi="Times New Roman" w:cs="Times New Roman"/>
          <w:bCs/>
          <w:sz w:val="24"/>
          <w:szCs w:val="24"/>
          <w:lang w:eastAsia="lv-LV"/>
        </w:rPr>
        <w:t>3</w:t>
      </w:r>
      <w:r w:rsidRPr="007F0A23">
        <w:rPr>
          <w:rFonts w:ascii="Times New Roman" w:eastAsia="Times New Roman" w:hAnsi="Times New Roman" w:cs="Times New Roman"/>
          <w:bCs/>
          <w:sz w:val="24"/>
          <w:szCs w:val="24"/>
          <w:lang w:eastAsia="lv-LV"/>
        </w:rPr>
        <w:t xml:space="preserve">. gada </w:t>
      </w:r>
      <w:r w:rsidR="001E6281">
        <w:rPr>
          <w:rFonts w:ascii="Times New Roman" w:eastAsia="Times New Roman" w:hAnsi="Times New Roman" w:cs="Times New Roman"/>
          <w:bCs/>
          <w:sz w:val="24"/>
          <w:szCs w:val="24"/>
          <w:lang w:eastAsia="lv-LV"/>
        </w:rPr>
        <w:t>22. martā</w:t>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Cs/>
          <w:sz w:val="24"/>
          <w:szCs w:val="24"/>
          <w:lang w:eastAsia="lv-LV"/>
        </w:rPr>
        <w:tab/>
      </w:r>
      <w:r w:rsidR="00DA3424">
        <w:rPr>
          <w:rFonts w:ascii="Times New Roman" w:eastAsia="Times New Roman" w:hAnsi="Times New Roman" w:cs="Times New Roman"/>
          <w:bCs/>
          <w:sz w:val="24"/>
          <w:szCs w:val="24"/>
          <w:lang w:eastAsia="lv-LV"/>
        </w:rPr>
        <w:tab/>
      </w:r>
      <w:r w:rsidRPr="007F0A23">
        <w:rPr>
          <w:rFonts w:ascii="Times New Roman" w:eastAsia="Times New Roman" w:hAnsi="Times New Roman" w:cs="Times New Roman"/>
          <w:b/>
          <w:bCs/>
          <w:sz w:val="24"/>
          <w:szCs w:val="24"/>
          <w:lang w:eastAsia="lv-LV"/>
        </w:rPr>
        <w:t>Nr.</w:t>
      </w:r>
      <w:r w:rsidR="004C0F43">
        <w:rPr>
          <w:rFonts w:ascii="Times New Roman" w:eastAsia="Times New Roman" w:hAnsi="Times New Roman" w:cs="Times New Roman"/>
          <w:b/>
          <w:bCs/>
          <w:sz w:val="24"/>
          <w:szCs w:val="24"/>
          <w:lang w:eastAsia="lv-LV"/>
        </w:rPr>
        <w:t xml:space="preserve"> </w:t>
      </w:r>
      <w:r w:rsidR="00DA3424">
        <w:rPr>
          <w:rFonts w:ascii="Times New Roman" w:eastAsia="Times New Roman" w:hAnsi="Times New Roman" w:cs="Times New Roman"/>
          <w:b/>
          <w:bCs/>
          <w:sz w:val="24"/>
          <w:szCs w:val="24"/>
          <w:lang w:eastAsia="lv-LV"/>
        </w:rPr>
        <w:t>8</w:t>
      </w:r>
    </w:p>
    <w:p w14:paraId="0F2EB26B" w14:textId="3CF7E906" w:rsidR="00433B67" w:rsidRDefault="00433B67" w:rsidP="00F92062">
      <w:pPr>
        <w:spacing w:after="0" w:line="240" w:lineRule="auto"/>
        <w:ind w:right="-1"/>
        <w:rPr>
          <w:rFonts w:ascii="Times New Roman" w:eastAsia="Times New Roman" w:hAnsi="Times New Roman" w:cs="Times New Roman"/>
          <w:b/>
          <w:bCs/>
          <w:sz w:val="24"/>
          <w:szCs w:val="24"/>
          <w:lang w:eastAsia="lv-LV"/>
        </w:rPr>
      </w:pPr>
    </w:p>
    <w:p w14:paraId="0DB36971" w14:textId="5BCF05A4" w:rsidR="00433B67" w:rsidRDefault="00433B67" w:rsidP="00B31886">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Pašvaldības konsolidētā gada pārskata sagatavošanas kārtība</w:t>
      </w:r>
    </w:p>
    <w:p w14:paraId="45E4B375" w14:textId="77777777" w:rsidR="00433B67" w:rsidRDefault="00433B67" w:rsidP="00433B67">
      <w:pPr>
        <w:spacing w:after="0" w:line="240" w:lineRule="auto"/>
        <w:ind w:left="4320" w:right="-1"/>
        <w:jc w:val="right"/>
        <w:rPr>
          <w:rFonts w:ascii="Times New Roman" w:eastAsia="Times New Roman" w:hAnsi="Times New Roman" w:cs="Times New Roman"/>
          <w:b/>
          <w:sz w:val="28"/>
          <w:szCs w:val="28"/>
          <w:lang w:eastAsia="lv-LV"/>
        </w:rPr>
      </w:pPr>
    </w:p>
    <w:p w14:paraId="01DD91BE" w14:textId="65874CBD" w:rsidR="00433B67" w:rsidRPr="00B31886" w:rsidRDefault="00433B67" w:rsidP="00B31886">
      <w:pPr>
        <w:spacing w:after="0" w:line="240" w:lineRule="auto"/>
        <w:ind w:left="4320" w:right="-1"/>
        <w:jc w:val="right"/>
        <w:rPr>
          <w:rFonts w:ascii="Times New Roman" w:eastAsia="Times New Roman" w:hAnsi="Times New Roman" w:cs="Times New Roman"/>
          <w:bCs/>
          <w:i/>
          <w:lang w:eastAsia="lv-LV"/>
        </w:rPr>
      </w:pPr>
      <w:r w:rsidRPr="008C35EC">
        <w:rPr>
          <w:rFonts w:ascii="Times New Roman" w:eastAsia="Times New Roman" w:hAnsi="Times New Roman" w:cs="Times New Roman"/>
          <w:bCs/>
          <w:i/>
          <w:lang w:eastAsia="lv-LV"/>
        </w:rPr>
        <w:t xml:space="preserve">Izdoti saskaņā ar </w:t>
      </w:r>
      <w:r w:rsidRPr="00433B67">
        <w:rPr>
          <w:rFonts w:ascii="Times New Roman" w:eastAsia="Times New Roman" w:hAnsi="Times New Roman" w:cs="Times New Roman"/>
          <w:bCs/>
          <w:i/>
          <w:lang w:eastAsia="lv-LV"/>
        </w:rPr>
        <w:t xml:space="preserve">Ministru kabineta </w:t>
      </w:r>
      <w:r>
        <w:rPr>
          <w:rFonts w:ascii="Times New Roman" w:eastAsia="Times New Roman" w:hAnsi="Times New Roman" w:cs="Times New Roman"/>
          <w:bCs/>
          <w:i/>
          <w:lang w:eastAsia="lv-LV"/>
        </w:rPr>
        <w:t>28.09.</w:t>
      </w:r>
      <w:r w:rsidRPr="00433B67">
        <w:rPr>
          <w:rFonts w:ascii="Times New Roman" w:eastAsia="Times New Roman" w:hAnsi="Times New Roman" w:cs="Times New Roman"/>
          <w:bCs/>
          <w:i/>
          <w:lang w:eastAsia="lv-LV"/>
        </w:rPr>
        <w:t>2021. noteikumu Nr.652 “Gada pārskata sagatavošanas kārtība”</w:t>
      </w:r>
      <w:r>
        <w:rPr>
          <w:rFonts w:ascii="Times New Roman" w:eastAsia="Times New Roman" w:hAnsi="Times New Roman" w:cs="Times New Roman"/>
          <w:bCs/>
          <w:i/>
          <w:lang w:eastAsia="lv-LV"/>
        </w:rPr>
        <w:t xml:space="preserve"> 15.</w:t>
      </w:r>
      <w:r w:rsidR="00313430">
        <w:rPr>
          <w:rFonts w:ascii="Times New Roman" w:eastAsia="Times New Roman" w:hAnsi="Times New Roman" w:cs="Times New Roman"/>
          <w:bCs/>
          <w:i/>
          <w:lang w:eastAsia="lv-LV"/>
        </w:rPr>
        <w:t xml:space="preserve"> un 20.</w:t>
      </w:r>
      <w:r>
        <w:rPr>
          <w:rFonts w:ascii="Times New Roman" w:eastAsia="Times New Roman" w:hAnsi="Times New Roman" w:cs="Times New Roman"/>
          <w:bCs/>
          <w:i/>
          <w:lang w:eastAsia="lv-LV"/>
        </w:rPr>
        <w:t xml:space="preserve"> punktu</w:t>
      </w:r>
    </w:p>
    <w:tbl>
      <w:tblPr>
        <w:tblW w:w="9468" w:type="dxa"/>
        <w:tblLook w:val="0000" w:firstRow="0" w:lastRow="0" w:firstColumn="0" w:lastColumn="0" w:noHBand="0" w:noVBand="0"/>
      </w:tblPr>
      <w:tblGrid>
        <w:gridCol w:w="9468"/>
      </w:tblGrid>
      <w:tr w:rsidR="007F0A23" w:rsidRPr="007F0A23" w14:paraId="116BCECE" w14:textId="77777777" w:rsidTr="00E242BB">
        <w:tc>
          <w:tcPr>
            <w:tcW w:w="9468" w:type="dxa"/>
            <w:tcBorders>
              <w:top w:val="nil"/>
              <w:left w:val="nil"/>
              <w:bottom w:val="nil"/>
              <w:right w:val="nil"/>
            </w:tcBorders>
          </w:tcPr>
          <w:p w14:paraId="1558F997" w14:textId="77777777" w:rsidR="007F0A23" w:rsidRPr="007F0A23" w:rsidRDefault="007F0A23" w:rsidP="00B31886">
            <w:pPr>
              <w:rPr>
                <w:rFonts w:ascii="Times New Roman" w:eastAsia="Times New Roman" w:hAnsi="Times New Roman" w:cs="Times New Roman"/>
                <w:b/>
                <w:sz w:val="24"/>
                <w:szCs w:val="24"/>
                <w:lang w:eastAsia="lv-LV"/>
              </w:rPr>
            </w:pPr>
          </w:p>
        </w:tc>
      </w:tr>
    </w:tbl>
    <w:p w14:paraId="6FE96A1B" w14:textId="77777777" w:rsidR="007F0A23" w:rsidRPr="00881BC5" w:rsidRDefault="007F0A23" w:rsidP="00F92062">
      <w:pPr>
        <w:numPr>
          <w:ilvl w:val="0"/>
          <w:numId w:val="2"/>
        </w:numPr>
        <w:spacing w:after="120" w:line="240" w:lineRule="auto"/>
        <w:ind w:left="284" w:right="-1" w:hanging="284"/>
        <w:jc w:val="center"/>
        <w:rPr>
          <w:rFonts w:ascii="Times New Roman" w:eastAsia="Times New Roman" w:hAnsi="Times New Roman" w:cs="Times New Roman"/>
          <w:b/>
          <w:sz w:val="24"/>
          <w:szCs w:val="24"/>
          <w:lang w:eastAsia="lv-LV"/>
        </w:rPr>
      </w:pPr>
      <w:r w:rsidRPr="00881BC5">
        <w:rPr>
          <w:rFonts w:ascii="Times New Roman" w:eastAsia="Times New Roman" w:hAnsi="Times New Roman" w:cs="Times New Roman"/>
          <w:b/>
          <w:sz w:val="24"/>
          <w:szCs w:val="24"/>
          <w:lang w:eastAsia="lv-LV"/>
        </w:rPr>
        <w:t>Vispārīgie noteikumi</w:t>
      </w:r>
    </w:p>
    <w:p w14:paraId="689893A1" w14:textId="60C9A77A" w:rsidR="007F0A23" w:rsidRPr="00881BC5" w:rsidRDefault="007F0A23"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Šie noteikumi nosaka kārtību, kādā Ādažu novada pašvaldīb</w:t>
      </w:r>
      <w:r w:rsidR="008C35EC" w:rsidRPr="00881BC5">
        <w:rPr>
          <w:rFonts w:ascii="Times New Roman" w:eastAsia="Calibri" w:hAnsi="Times New Roman" w:cs="Times New Roman"/>
          <w:sz w:val="24"/>
          <w:szCs w:val="24"/>
          <w:lang w:eastAsia="lv-LV"/>
        </w:rPr>
        <w:t>a</w:t>
      </w:r>
      <w:r w:rsidR="000629C6" w:rsidRPr="00881BC5">
        <w:rPr>
          <w:rFonts w:ascii="Times New Roman" w:eastAsia="Calibri" w:hAnsi="Times New Roman" w:cs="Times New Roman"/>
          <w:sz w:val="24"/>
          <w:szCs w:val="24"/>
          <w:lang w:eastAsia="lv-LV"/>
        </w:rPr>
        <w:t>s iestādes sagatavo gada pārskatu</w:t>
      </w:r>
      <w:r w:rsidR="00467B82">
        <w:rPr>
          <w:rFonts w:ascii="Times New Roman" w:eastAsia="Calibri" w:hAnsi="Times New Roman" w:cs="Times New Roman"/>
          <w:sz w:val="24"/>
          <w:szCs w:val="24"/>
          <w:lang w:eastAsia="lv-LV"/>
        </w:rPr>
        <w:t>.</w:t>
      </w:r>
    </w:p>
    <w:p w14:paraId="40647136" w14:textId="332AD747" w:rsidR="007F0A23" w:rsidRPr="00881BC5" w:rsidRDefault="007F0A23"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Noteikumu mērķis ir nodrošināt</w:t>
      </w:r>
      <w:r w:rsidR="007D491E" w:rsidRPr="00881BC5">
        <w:rPr>
          <w:rFonts w:ascii="Times New Roman" w:eastAsia="Calibri" w:hAnsi="Times New Roman" w:cs="Times New Roman"/>
          <w:sz w:val="24"/>
          <w:szCs w:val="24"/>
          <w:lang w:eastAsia="lv-LV"/>
        </w:rPr>
        <w:t>, ka pašvaldības konsolidētais gada pārskats visos būtiskajos aspektos saskan ar pašvaldības iestāžu</w:t>
      </w:r>
      <w:r w:rsidR="00843D73" w:rsidRPr="00881BC5">
        <w:rPr>
          <w:rFonts w:ascii="Times New Roman" w:eastAsia="Calibri" w:hAnsi="Times New Roman" w:cs="Times New Roman"/>
          <w:sz w:val="24"/>
          <w:szCs w:val="24"/>
          <w:lang w:eastAsia="lv-LV"/>
        </w:rPr>
        <w:t xml:space="preserve"> sagatavotajiem finanšu pārskatiem, uz kuriem balstoties tas sagatavots.</w:t>
      </w:r>
    </w:p>
    <w:p w14:paraId="147BACA7" w14:textId="345BE2CD" w:rsidR="007F0A23" w:rsidRPr="00881BC5" w:rsidRDefault="008A0AFA" w:rsidP="0037212E">
      <w:pPr>
        <w:numPr>
          <w:ilvl w:val="0"/>
          <w:numId w:val="2"/>
        </w:numPr>
        <w:spacing w:after="120" w:line="240" w:lineRule="auto"/>
        <w:ind w:left="426" w:right="-1" w:hanging="426"/>
        <w:jc w:val="center"/>
        <w:rPr>
          <w:rFonts w:ascii="Times New Roman" w:eastAsia="Calibri" w:hAnsi="Times New Roman" w:cs="Times New Roman"/>
          <w:b/>
          <w:sz w:val="24"/>
          <w:szCs w:val="24"/>
          <w:lang w:eastAsia="lv-LV"/>
        </w:rPr>
      </w:pPr>
      <w:r w:rsidRPr="00881BC5">
        <w:rPr>
          <w:rFonts w:ascii="Times New Roman" w:eastAsia="Calibri" w:hAnsi="Times New Roman" w:cs="Times New Roman"/>
          <w:b/>
          <w:sz w:val="24"/>
          <w:szCs w:val="24"/>
          <w:lang w:eastAsia="lv-LV"/>
        </w:rPr>
        <w:t>Konsolidācijā iekļaujamās vienības</w:t>
      </w:r>
    </w:p>
    <w:p w14:paraId="679B2D3A" w14:textId="085490C7" w:rsidR="007F0A23" w:rsidRPr="00881BC5" w:rsidRDefault="008A0AFA"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Konsolidētais gada pārskat</w:t>
      </w:r>
      <w:r w:rsidR="00467B82">
        <w:rPr>
          <w:rFonts w:ascii="Times New Roman" w:eastAsia="Calibri" w:hAnsi="Times New Roman" w:cs="Times New Roman"/>
          <w:sz w:val="24"/>
          <w:szCs w:val="24"/>
          <w:lang w:eastAsia="lv-LV"/>
        </w:rPr>
        <w:t>u</w:t>
      </w:r>
      <w:r w:rsidRPr="00881BC5">
        <w:rPr>
          <w:rFonts w:ascii="Times New Roman" w:eastAsia="Calibri" w:hAnsi="Times New Roman" w:cs="Times New Roman"/>
          <w:sz w:val="24"/>
          <w:szCs w:val="24"/>
          <w:lang w:eastAsia="lv-LV"/>
        </w:rPr>
        <w:t xml:space="preserve"> sagatavo apvienojot š</w:t>
      </w:r>
      <w:r w:rsidR="00D85F4D" w:rsidRPr="00881BC5">
        <w:rPr>
          <w:rFonts w:ascii="Times New Roman" w:eastAsia="Calibri" w:hAnsi="Times New Roman" w:cs="Times New Roman"/>
          <w:sz w:val="24"/>
          <w:szCs w:val="24"/>
          <w:lang w:eastAsia="lv-LV"/>
        </w:rPr>
        <w:t>ā</w:t>
      </w:r>
      <w:r w:rsidRPr="00881BC5">
        <w:rPr>
          <w:rFonts w:ascii="Times New Roman" w:eastAsia="Calibri" w:hAnsi="Times New Roman" w:cs="Times New Roman"/>
          <w:sz w:val="24"/>
          <w:szCs w:val="24"/>
          <w:lang w:eastAsia="lv-LV"/>
        </w:rPr>
        <w:t>dus pašvaldības</w:t>
      </w:r>
      <w:r w:rsidR="00D85F4D" w:rsidRPr="00881BC5">
        <w:rPr>
          <w:rFonts w:ascii="Times New Roman" w:eastAsia="Calibri" w:hAnsi="Times New Roman" w:cs="Times New Roman"/>
          <w:sz w:val="24"/>
          <w:szCs w:val="24"/>
          <w:lang w:eastAsia="lv-LV"/>
        </w:rPr>
        <w:t xml:space="preserve"> iestāžu finanšu pārskatus:</w:t>
      </w:r>
    </w:p>
    <w:p w14:paraId="0EDD14FE" w14:textId="77777777" w:rsidR="00D85F4D" w:rsidRPr="00881BC5" w:rsidRDefault="00D85F4D" w:rsidP="00B31886">
      <w:pPr>
        <w:numPr>
          <w:ilvl w:val="1"/>
          <w:numId w:val="1"/>
        </w:numPr>
        <w:spacing w:after="120" w:line="240" w:lineRule="auto"/>
        <w:ind w:left="993" w:right="-1" w:hanging="567"/>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pašvaldības aģentūra „Carnikavas komunālserviss”</w:t>
      </w:r>
      <w:r w:rsidR="007F0A23" w:rsidRPr="00881BC5">
        <w:rPr>
          <w:rFonts w:ascii="Times New Roman" w:eastAsia="Calibri" w:hAnsi="Times New Roman" w:cs="Times New Roman"/>
          <w:sz w:val="24"/>
          <w:szCs w:val="24"/>
          <w:lang w:eastAsia="lv-LV"/>
        </w:rPr>
        <w:t>;</w:t>
      </w:r>
    </w:p>
    <w:p w14:paraId="34A080D2" w14:textId="05CAF202" w:rsidR="00F707F0" w:rsidRPr="00881BC5" w:rsidRDefault="00AE7C9E" w:rsidP="00B31886">
      <w:pPr>
        <w:numPr>
          <w:ilvl w:val="1"/>
          <w:numId w:val="1"/>
        </w:numPr>
        <w:spacing w:after="120" w:line="240" w:lineRule="auto"/>
        <w:ind w:left="993" w:hanging="567"/>
        <w:jc w:val="both"/>
        <w:rPr>
          <w:rFonts w:ascii="Times New Roman" w:eastAsia="Calibri" w:hAnsi="Times New Roman" w:cs="Times New Roman"/>
          <w:sz w:val="24"/>
          <w:szCs w:val="24"/>
          <w:lang w:eastAsia="lv-LV"/>
        </w:rPr>
      </w:pPr>
      <w:r>
        <w:rPr>
          <w:rFonts w:ascii="Times New Roman" w:hAnsi="Times New Roman" w:cs="Times New Roman"/>
          <w:sz w:val="24"/>
          <w:szCs w:val="24"/>
        </w:rPr>
        <w:t>pašvaldības administrācija (</w:t>
      </w:r>
      <w:r w:rsidR="00467B82">
        <w:rPr>
          <w:rFonts w:ascii="Times New Roman" w:hAnsi="Times New Roman" w:cs="Times New Roman"/>
          <w:sz w:val="24"/>
          <w:szCs w:val="24"/>
        </w:rPr>
        <w:t xml:space="preserve">pašvaldības </w:t>
      </w:r>
      <w:r>
        <w:rPr>
          <w:rFonts w:ascii="Times New Roman" w:hAnsi="Times New Roman" w:cs="Times New Roman"/>
          <w:sz w:val="24"/>
          <w:szCs w:val="24"/>
        </w:rPr>
        <w:t>iestādes un to struktūrvienības)</w:t>
      </w:r>
      <w:r w:rsidR="00467B82">
        <w:rPr>
          <w:rFonts w:ascii="Times New Roman" w:hAnsi="Times New Roman" w:cs="Times New Roman"/>
          <w:sz w:val="24"/>
          <w:szCs w:val="24"/>
        </w:rPr>
        <w:t>.</w:t>
      </w:r>
    </w:p>
    <w:p w14:paraId="03478919" w14:textId="1BCFCD2E" w:rsidR="007F0A23" w:rsidRPr="00881BC5" w:rsidRDefault="007C0E11" w:rsidP="0037212E">
      <w:pPr>
        <w:numPr>
          <w:ilvl w:val="0"/>
          <w:numId w:val="2"/>
        </w:numPr>
        <w:spacing w:after="120" w:line="240" w:lineRule="auto"/>
        <w:ind w:left="426" w:right="-1" w:hanging="426"/>
        <w:jc w:val="center"/>
        <w:rPr>
          <w:rFonts w:ascii="Times New Roman" w:eastAsia="Calibri" w:hAnsi="Times New Roman" w:cs="Times New Roman"/>
          <w:b/>
          <w:sz w:val="24"/>
          <w:szCs w:val="24"/>
          <w:lang w:eastAsia="lv-LV"/>
        </w:rPr>
      </w:pPr>
      <w:r w:rsidRPr="00881BC5">
        <w:rPr>
          <w:rFonts w:ascii="Times New Roman" w:eastAsia="Times New Roman" w:hAnsi="Times New Roman" w:cs="Times New Roman"/>
          <w:b/>
          <w:sz w:val="24"/>
          <w:szCs w:val="24"/>
          <w:lang w:eastAsia="lv-LV"/>
        </w:rPr>
        <w:t xml:space="preserve">Pārskata sagatavošana </w:t>
      </w:r>
    </w:p>
    <w:p w14:paraId="6A6332AF" w14:textId="7F17993A" w:rsidR="007F0A23" w:rsidRPr="00881BC5" w:rsidRDefault="00170B14" w:rsidP="0037212E">
      <w:pPr>
        <w:numPr>
          <w:ilvl w:val="0"/>
          <w:numId w:val="1"/>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eastAsia="Calibri" w:hAnsi="Times New Roman" w:cs="Times New Roman"/>
          <w:sz w:val="24"/>
          <w:szCs w:val="24"/>
          <w:lang w:eastAsia="lv-LV"/>
        </w:rPr>
        <w:t>Pašvaldības iestāžu gada pārskatā iekļauj:</w:t>
      </w:r>
    </w:p>
    <w:p w14:paraId="760AABA3" w14:textId="501A60B1" w:rsidR="00C65E93" w:rsidRPr="00B31886" w:rsidRDefault="00170B14" w:rsidP="00467B82">
      <w:pPr>
        <w:numPr>
          <w:ilvl w:val="1"/>
          <w:numId w:val="1"/>
        </w:numPr>
        <w:spacing w:after="120" w:line="240" w:lineRule="auto"/>
        <w:ind w:left="993" w:right="-1" w:hanging="567"/>
        <w:jc w:val="both"/>
        <w:rPr>
          <w:rFonts w:ascii="Times New Roman" w:eastAsia="Calibri" w:hAnsi="Times New Roman" w:cs="Times New Roman"/>
          <w:sz w:val="24"/>
          <w:szCs w:val="24"/>
          <w:lang w:eastAsia="lv-LV"/>
        </w:rPr>
      </w:pPr>
      <w:r w:rsidRPr="00B31886">
        <w:rPr>
          <w:rFonts w:ascii="Times New Roman" w:eastAsia="Calibri" w:hAnsi="Times New Roman" w:cs="Times New Roman"/>
          <w:b/>
          <w:bCs/>
          <w:sz w:val="24"/>
          <w:szCs w:val="24"/>
          <w:lang w:eastAsia="lv-LV"/>
        </w:rPr>
        <w:t>Vadības ziņojumu</w:t>
      </w:r>
      <w:r w:rsidR="0022091D" w:rsidRPr="00881BC5">
        <w:rPr>
          <w:rFonts w:ascii="Times New Roman" w:eastAsia="Calibri" w:hAnsi="Times New Roman" w:cs="Times New Roman"/>
          <w:sz w:val="24"/>
          <w:szCs w:val="24"/>
          <w:lang w:eastAsia="lv-LV"/>
        </w:rPr>
        <w:t xml:space="preserve">, kurā </w:t>
      </w:r>
      <w:r w:rsidR="007339CB">
        <w:rPr>
          <w:rFonts w:ascii="Times New Roman" w:eastAsia="Calibri" w:hAnsi="Times New Roman" w:cs="Times New Roman"/>
          <w:sz w:val="24"/>
          <w:szCs w:val="24"/>
          <w:lang w:eastAsia="lv-LV"/>
        </w:rPr>
        <w:t xml:space="preserve">ietver šādu </w:t>
      </w:r>
      <w:r w:rsidR="00CA344B" w:rsidRPr="00881BC5">
        <w:rPr>
          <w:rFonts w:ascii="Times New Roman" w:eastAsia="Calibri" w:hAnsi="Times New Roman" w:cs="Times New Roman"/>
          <w:sz w:val="24"/>
          <w:szCs w:val="24"/>
          <w:lang w:eastAsia="lv-LV"/>
        </w:rPr>
        <w:t>i</w:t>
      </w:r>
      <w:r w:rsidR="0022091D" w:rsidRPr="00881BC5">
        <w:rPr>
          <w:rFonts w:ascii="Times New Roman" w:hAnsi="Times New Roman" w:cs="Times New Roman"/>
          <w:sz w:val="24"/>
          <w:szCs w:val="24"/>
        </w:rPr>
        <w:t>nformāciju</w:t>
      </w:r>
      <w:r w:rsidR="00C65E93">
        <w:rPr>
          <w:rFonts w:ascii="Times New Roman" w:hAnsi="Times New Roman" w:cs="Times New Roman"/>
          <w:sz w:val="24"/>
          <w:szCs w:val="24"/>
        </w:rPr>
        <w:t>:</w:t>
      </w:r>
    </w:p>
    <w:p w14:paraId="2C909CA6" w14:textId="06D1A33A" w:rsidR="00C65E93" w:rsidRPr="00B31886" w:rsidRDefault="0022091D"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iestādes darbīb</w:t>
      </w:r>
      <w:r w:rsidR="007339CB">
        <w:rPr>
          <w:rFonts w:ascii="Times New Roman" w:hAnsi="Times New Roman" w:cs="Times New Roman"/>
          <w:sz w:val="24"/>
          <w:szCs w:val="24"/>
        </w:rPr>
        <w:t>a</w:t>
      </w:r>
      <w:r w:rsidRPr="00881BC5">
        <w:rPr>
          <w:rFonts w:ascii="Times New Roman" w:hAnsi="Times New Roman" w:cs="Times New Roman"/>
          <w:sz w:val="24"/>
          <w:szCs w:val="24"/>
        </w:rPr>
        <w:t xml:space="preserve"> pārskata gadā</w:t>
      </w:r>
      <w:r w:rsidR="007339CB">
        <w:rPr>
          <w:rFonts w:ascii="Times New Roman" w:hAnsi="Times New Roman" w:cs="Times New Roman"/>
          <w:sz w:val="24"/>
          <w:szCs w:val="24"/>
        </w:rPr>
        <w:t xml:space="preserve"> un </w:t>
      </w:r>
      <w:r w:rsidRPr="007339CB">
        <w:rPr>
          <w:rFonts w:ascii="Times New Roman" w:hAnsi="Times New Roman" w:cs="Times New Roman"/>
          <w:sz w:val="24"/>
          <w:szCs w:val="24"/>
        </w:rPr>
        <w:t>plānot</w:t>
      </w:r>
      <w:r w:rsidR="007339CB">
        <w:rPr>
          <w:rFonts w:ascii="Times New Roman" w:hAnsi="Times New Roman" w:cs="Times New Roman"/>
          <w:sz w:val="24"/>
          <w:szCs w:val="24"/>
        </w:rPr>
        <w:t>ā</w:t>
      </w:r>
      <w:r w:rsidRPr="007339CB">
        <w:rPr>
          <w:rFonts w:ascii="Times New Roman" w:hAnsi="Times New Roman" w:cs="Times New Roman"/>
          <w:sz w:val="24"/>
          <w:szCs w:val="24"/>
        </w:rPr>
        <w:t xml:space="preserve"> darbīb</w:t>
      </w:r>
      <w:r w:rsidR="007339CB">
        <w:rPr>
          <w:rFonts w:ascii="Times New Roman" w:hAnsi="Times New Roman" w:cs="Times New Roman"/>
          <w:sz w:val="24"/>
          <w:szCs w:val="24"/>
        </w:rPr>
        <w:t>a</w:t>
      </w:r>
      <w:r w:rsidRPr="007339CB">
        <w:rPr>
          <w:rFonts w:ascii="Times New Roman" w:hAnsi="Times New Roman" w:cs="Times New Roman"/>
          <w:sz w:val="24"/>
          <w:szCs w:val="24"/>
        </w:rPr>
        <w:t xml:space="preserve"> turpmākajos gados</w:t>
      </w:r>
      <w:r w:rsidR="00C65E93" w:rsidRPr="007339CB">
        <w:rPr>
          <w:rFonts w:ascii="Times New Roman" w:hAnsi="Times New Roman" w:cs="Times New Roman"/>
          <w:sz w:val="24"/>
          <w:szCs w:val="24"/>
        </w:rPr>
        <w:t>;</w:t>
      </w:r>
    </w:p>
    <w:p w14:paraId="55596EDF" w14:textId="63E17582" w:rsidR="007339CB" w:rsidRPr="00B31886" w:rsidRDefault="009312E5"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normatīv</w:t>
      </w:r>
      <w:r w:rsidR="007339CB">
        <w:rPr>
          <w:rFonts w:ascii="Times New Roman" w:hAnsi="Times New Roman" w:cs="Times New Roman"/>
          <w:sz w:val="24"/>
          <w:szCs w:val="24"/>
        </w:rPr>
        <w:t>ie</w:t>
      </w:r>
      <w:r w:rsidRPr="00313430">
        <w:rPr>
          <w:rFonts w:ascii="Times New Roman" w:hAnsi="Times New Roman" w:cs="Times New Roman"/>
          <w:sz w:val="24"/>
          <w:szCs w:val="24"/>
        </w:rPr>
        <w:t xml:space="preserve"> akti, kas regulē iestādes pamatdarbību</w:t>
      </w:r>
      <w:r w:rsidR="007339CB">
        <w:rPr>
          <w:rFonts w:ascii="Times New Roman" w:hAnsi="Times New Roman" w:cs="Times New Roman"/>
          <w:sz w:val="24"/>
          <w:szCs w:val="24"/>
        </w:rPr>
        <w:t>;</w:t>
      </w:r>
    </w:p>
    <w:p w14:paraId="7AC89C7C" w14:textId="402AD748" w:rsidR="00313430" w:rsidRPr="00B31886" w:rsidRDefault="00313430"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Pr>
          <w:rFonts w:ascii="Times New Roman" w:hAnsi="Times New Roman" w:cs="Times New Roman"/>
          <w:sz w:val="24"/>
          <w:szCs w:val="24"/>
        </w:rPr>
        <w:t>iestādes</w:t>
      </w:r>
      <w:r w:rsidR="009312E5" w:rsidRPr="00313430">
        <w:rPr>
          <w:rFonts w:ascii="Times New Roman" w:hAnsi="Times New Roman" w:cs="Times New Roman"/>
          <w:sz w:val="24"/>
          <w:szCs w:val="24"/>
        </w:rPr>
        <w:t xml:space="preserve"> galven</w:t>
      </w:r>
      <w:r w:rsidR="007339CB">
        <w:rPr>
          <w:rFonts w:ascii="Times New Roman" w:hAnsi="Times New Roman" w:cs="Times New Roman"/>
          <w:sz w:val="24"/>
          <w:szCs w:val="24"/>
        </w:rPr>
        <w:t>ās</w:t>
      </w:r>
      <w:r w:rsidR="009312E5" w:rsidRPr="00313430">
        <w:rPr>
          <w:rFonts w:ascii="Times New Roman" w:hAnsi="Times New Roman" w:cs="Times New Roman"/>
          <w:sz w:val="24"/>
          <w:szCs w:val="24"/>
        </w:rPr>
        <w:t xml:space="preserve"> funkcij</w:t>
      </w:r>
      <w:r w:rsidR="007339CB">
        <w:rPr>
          <w:rFonts w:ascii="Times New Roman" w:hAnsi="Times New Roman" w:cs="Times New Roman"/>
          <w:sz w:val="24"/>
          <w:szCs w:val="24"/>
        </w:rPr>
        <w:t>as</w:t>
      </w:r>
      <w:r>
        <w:rPr>
          <w:rFonts w:ascii="Times New Roman" w:hAnsi="Times New Roman" w:cs="Times New Roman"/>
          <w:sz w:val="24"/>
          <w:szCs w:val="24"/>
        </w:rPr>
        <w:t>;</w:t>
      </w:r>
    </w:p>
    <w:p w14:paraId="4EDEE6BD" w14:textId="2E12632C" w:rsidR="00313430" w:rsidRPr="00B31886" w:rsidRDefault="007339CB"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Pr>
          <w:rFonts w:ascii="Times New Roman" w:hAnsi="Times New Roman" w:cs="Times New Roman"/>
          <w:sz w:val="24"/>
          <w:szCs w:val="24"/>
        </w:rPr>
        <w:t xml:space="preserve">iestādes </w:t>
      </w:r>
      <w:r w:rsidR="009312E5" w:rsidRPr="00313430">
        <w:rPr>
          <w:rFonts w:ascii="Times New Roman" w:hAnsi="Times New Roman" w:cs="Times New Roman"/>
          <w:sz w:val="24"/>
          <w:szCs w:val="24"/>
        </w:rPr>
        <w:t>darbības laik</w:t>
      </w:r>
      <w:r>
        <w:rPr>
          <w:rFonts w:ascii="Times New Roman" w:eastAsia="Calibri" w:hAnsi="Times New Roman" w:cs="Times New Roman"/>
          <w:sz w:val="24"/>
          <w:szCs w:val="24"/>
          <w:lang w:eastAsia="lv-LV"/>
        </w:rPr>
        <w:t>s</w:t>
      </w:r>
      <w:r w:rsidR="009312E5" w:rsidRPr="00313430">
        <w:rPr>
          <w:rFonts w:ascii="Times New Roman" w:hAnsi="Times New Roman" w:cs="Times New Roman"/>
          <w:sz w:val="24"/>
          <w:szCs w:val="24"/>
        </w:rPr>
        <w:t xml:space="preserve">, ja tas </w:t>
      </w:r>
      <w:r w:rsidR="00313430">
        <w:rPr>
          <w:rFonts w:ascii="Times New Roman" w:hAnsi="Times New Roman" w:cs="Times New Roman"/>
          <w:sz w:val="24"/>
          <w:szCs w:val="24"/>
        </w:rPr>
        <w:t>bija</w:t>
      </w:r>
      <w:r w:rsidR="009312E5" w:rsidRPr="00313430">
        <w:rPr>
          <w:rFonts w:ascii="Times New Roman" w:hAnsi="Times New Roman" w:cs="Times New Roman"/>
          <w:sz w:val="24"/>
          <w:szCs w:val="24"/>
        </w:rPr>
        <w:t xml:space="preserve"> ierobežots</w:t>
      </w:r>
      <w:r w:rsidR="00313430">
        <w:rPr>
          <w:rFonts w:ascii="Times New Roman" w:hAnsi="Times New Roman" w:cs="Times New Roman"/>
          <w:sz w:val="24"/>
          <w:szCs w:val="24"/>
        </w:rPr>
        <w:t>;</w:t>
      </w:r>
      <w:r w:rsidR="009312E5" w:rsidRPr="00313430">
        <w:rPr>
          <w:rFonts w:ascii="Times New Roman" w:hAnsi="Times New Roman" w:cs="Times New Roman"/>
          <w:sz w:val="24"/>
          <w:szCs w:val="24"/>
        </w:rPr>
        <w:t xml:space="preserve"> </w:t>
      </w:r>
    </w:p>
    <w:p w14:paraId="46E703E5" w14:textId="7959CFA0" w:rsidR="00313430" w:rsidRPr="00B31886" w:rsidRDefault="009312E5" w:rsidP="00313430">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galven</w:t>
      </w:r>
      <w:r w:rsidR="007339CB">
        <w:rPr>
          <w:rFonts w:ascii="Times New Roman" w:hAnsi="Times New Roman" w:cs="Times New Roman"/>
          <w:sz w:val="24"/>
          <w:szCs w:val="24"/>
        </w:rPr>
        <w:t>ie</w:t>
      </w:r>
      <w:r w:rsidRPr="00313430">
        <w:rPr>
          <w:rFonts w:ascii="Times New Roman" w:hAnsi="Times New Roman" w:cs="Times New Roman"/>
          <w:sz w:val="24"/>
          <w:szCs w:val="24"/>
        </w:rPr>
        <w:t xml:space="preserve"> notikumi, </w:t>
      </w:r>
      <w:r w:rsidR="00CA344B" w:rsidRPr="00313430">
        <w:rPr>
          <w:rFonts w:ascii="Times New Roman" w:hAnsi="Times New Roman" w:cs="Times New Roman"/>
          <w:sz w:val="24"/>
          <w:szCs w:val="24"/>
        </w:rPr>
        <w:t>kas ietekmēj</w:t>
      </w:r>
      <w:r w:rsidR="00313430">
        <w:rPr>
          <w:rFonts w:ascii="Times New Roman" w:hAnsi="Times New Roman" w:cs="Times New Roman"/>
          <w:sz w:val="24"/>
          <w:szCs w:val="24"/>
        </w:rPr>
        <w:t>a</w:t>
      </w:r>
      <w:r w:rsidR="00CA344B" w:rsidRPr="00313430">
        <w:rPr>
          <w:rFonts w:ascii="Times New Roman" w:hAnsi="Times New Roman" w:cs="Times New Roman"/>
          <w:sz w:val="24"/>
          <w:szCs w:val="24"/>
        </w:rPr>
        <w:t xml:space="preserve"> iestādes darbību</w:t>
      </w:r>
      <w:r w:rsidRPr="00313430">
        <w:rPr>
          <w:rFonts w:ascii="Times New Roman" w:hAnsi="Times New Roman" w:cs="Times New Roman"/>
          <w:sz w:val="24"/>
          <w:szCs w:val="24"/>
        </w:rPr>
        <w:t xml:space="preserve"> pārskata gadā</w:t>
      </w:r>
      <w:r w:rsidR="00313430">
        <w:rPr>
          <w:rFonts w:ascii="Times New Roman" w:hAnsi="Times New Roman" w:cs="Times New Roman"/>
          <w:sz w:val="24"/>
          <w:szCs w:val="24"/>
        </w:rPr>
        <w:t xml:space="preserve"> un</w:t>
      </w:r>
      <w:r w:rsidRPr="00313430">
        <w:rPr>
          <w:rFonts w:ascii="Times New Roman" w:hAnsi="Times New Roman" w:cs="Times New Roman"/>
          <w:sz w:val="24"/>
          <w:szCs w:val="24"/>
        </w:rPr>
        <w:t xml:space="preserve"> </w:t>
      </w:r>
      <w:r w:rsidR="007339CB">
        <w:rPr>
          <w:rFonts w:ascii="Times New Roman" w:hAnsi="Times New Roman" w:cs="Times New Roman"/>
          <w:sz w:val="24"/>
          <w:szCs w:val="24"/>
        </w:rPr>
        <w:t xml:space="preserve">veiktās </w:t>
      </w:r>
      <w:r w:rsidRPr="00313430">
        <w:rPr>
          <w:rFonts w:ascii="Times New Roman" w:hAnsi="Times New Roman" w:cs="Times New Roman"/>
          <w:sz w:val="24"/>
          <w:szCs w:val="24"/>
        </w:rPr>
        <w:t>būtisk</w:t>
      </w:r>
      <w:r w:rsidR="007339CB">
        <w:rPr>
          <w:rFonts w:ascii="Times New Roman" w:hAnsi="Times New Roman" w:cs="Times New Roman"/>
          <w:sz w:val="24"/>
          <w:szCs w:val="24"/>
        </w:rPr>
        <w:t>as</w:t>
      </w:r>
      <w:r w:rsidRPr="00313430">
        <w:rPr>
          <w:rFonts w:ascii="Times New Roman" w:hAnsi="Times New Roman" w:cs="Times New Roman"/>
          <w:sz w:val="24"/>
          <w:szCs w:val="24"/>
        </w:rPr>
        <w:t xml:space="preserve"> pārmaiņ</w:t>
      </w:r>
      <w:r w:rsidR="007339CB">
        <w:rPr>
          <w:rFonts w:ascii="Times New Roman" w:hAnsi="Times New Roman" w:cs="Times New Roman"/>
          <w:sz w:val="24"/>
          <w:szCs w:val="24"/>
        </w:rPr>
        <w:t>as</w:t>
      </w:r>
      <w:r w:rsidRPr="00313430">
        <w:rPr>
          <w:rFonts w:ascii="Times New Roman" w:hAnsi="Times New Roman" w:cs="Times New Roman"/>
          <w:sz w:val="24"/>
          <w:szCs w:val="24"/>
        </w:rPr>
        <w:t xml:space="preserve"> iestādes darbībā</w:t>
      </w:r>
      <w:r w:rsidR="00313430">
        <w:rPr>
          <w:rFonts w:ascii="Times New Roman" w:hAnsi="Times New Roman" w:cs="Times New Roman"/>
          <w:sz w:val="24"/>
          <w:szCs w:val="24"/>
        </w:rPr>
        <w:t>;</w:t>
      </w:r>
      <w:r w:rsidRPr="00313430">
        <w:rPr>
          <w:rFonts w:ascii="Times New Roman" w:hAnsi="Times New Roman" w:cs="Times New Roman"/>
          <w:sz w:val="24"/>
          <w:szCs w:val="24"/>
        </w:rPr>
        <w:t xml:space="preserve"> </w:t>
      </w:r>
    </w:p>
    <w:p w14:paraId="4E008D0B" w14:textId="77777777" w:rsidR="007339CB" w:rsidRPr="00222AAB"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pētniecības un attīstības darbi</w:t>
      </w:r>
      <w:r>
        <w:rPr>
          <w:rFonts w:ascii="Times New Roman" w:hAnsi="Times New Roman" w:cs="Times New Roman"/>
          <w:sz w:val="24"/>
          <w:szCs w:val="24"/>
        </w:rPr>
        <w:t>;</w:t>
      </w:r>
    </w:p>
    <w:p w14:paraId="062FAC67" w14:textId="77777777" w:rsidR="007339CB" w:rsidRPr="00222AAB"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lastRenderedPageBreak/>
        <w:t>finanšu instrumentu izmantošan</w:t>
      </w:r>
      <w:r>
        <w:rPr>
          <w:rFonts w:ascii="Times New Roman" w:hAnsi="Times New Roman" w:cs="Times New Roman"/>
          <w:sz w:val="24"/>
          <w:szCs w:val="24"/>
        </w:rPr>
        <w:t>a</w:t>
      </w:r>
      <w:r w:rsidRPr="00313430">
        <w:rPr>
          <w:rFonts w:ascii="Times New Roman" w:hAnsi="Times New Roman" w:cs="Times New Roman"/>
          <w:sz w:val="24"/>
          <w:szCs w:val="24"/>
        </w:rPr>
        <w:t xml:space="preserve"> un finanšu risku vadības mērķi, ja tas ir būtiski iestādes aktīvu, saistību un finansiālā stāvokļa novērtēšanai</w:t>
      </w:r>
      <w:r>
        <w:rPr>
          <w:rFonts w:ascii="Times New Roman" w:hAnsi="Times New Roman" w:cs="Times New Roman"/>
          <w:sz w:val="24"/>
          <w:szCs w:val="24"/>
        </w:rPr>
        <w:t>;</w:t>
      </w:r>
      <w:r w:rsidRPr="00313430">
        <w:rPr>
          <w:rFonts w:ascii="Times New Roman" w:hAnsi="Times New Roman" w:cs="Times New Roman"/>
          <w:sz w:val="24"/>
          <w:szCs w:val="24"/>
        </w:rPr>
        <w:t xml:space="preserve"> </w:t>
      </w:r>
    </w:p>
    <w:p w14:paraId="2C3297C9" w14:textId="76406A22" w:rsidR="007339CB"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cit</w:t>
      </w:r>
      <w:r>
        <w:rPr>
          <w:rFonts w:ascii="Times New Roman" w:hAnsi="Times New Roman" w:cs="Times New Roman"/>
          <w:sz w:val="24"/>
          <w:szCs w:val="24"/>
        </w:rPr>
        <w:t>a</w:t>
      </w:r>
      <w:r w:rsidRPr="00313430">
        <w:rPr>
          <w:rFonts w:ascii="Times New Roman" w:hAnsi="Times New Roman" w:cs="Times New Roman"/>
          <w:sz w:val="24"/>
          <w:szCs w:val="24"/>
        </w:rPr>
        <w:t xml:space="preserve"> publiski pieeja</w:t>
      </w:r>
      <w:r>
        <w:rPr>
          <w:rFonts w:ascii="Times New Roman" w:hAnsi="Times New Roman" w:cs="Times New Roman"/>
          <w:sz w:val="24"/>
          <w:szCs w:val="24"/>
        </w:rPr>
        <w:t>mā informācija un</w:t>
      </w:r>
      <w:r w:rsidRPr="00313430">
        <w:rPr>
          <w:rFonts w:ascii="Times New Roman" w:hAnsi="Times New Roman" w:cs="Times New Roman"/>
          <w:sz w:val="24"/>
          <w:szCs w:val="24"/>
        </w:rPr>
        <w:t xml:space="preserve"> dokumenti par iestādes darbību pārskata gadā</w:t>
      </w:r>
      <w:r>
        <w:rPr>
          <w:rFonts w:ascii="Times New Roman" w:hAnsi="Times New Roman" w:cs="Times New Roman"/>
          <w:sz w:val="24"/>
          <w:szCs w:val="24"/>
        </w:rPr>
        <w:t>;</w:t>
      </w:r>
    </w:p>
    <w:p w14:paraId="38A9C740" w14:textId="09584491" w:rsidR="007339CB" w:rsidRPr="00577A68" w:rsidRDefault="007339CB" w:rsidP="007339CB">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313430">
        <w:rPr>
          <w:rFonts w:ascii="Times New Roman" w:hAnsi="Times New Roman" w:cs="Times New Roman"/>
          <w:sz w:val="24"/>
          <w:szCs w:val="24"/>
        </w:rPr>
        <w:t>būtiski riski un neskaidri</w:t>
      </w:r>
      <w:r>
        <w:rPr>
          <w:rFonts w:ascii="Times New Roman" w:hAnsi="Times New Roman" w:cs="Times New Roman"/>
          <w:sz w:val="24"/>
          <w:szCs w:val="24"/>
        </w:rPr>
        <w:t>e</w:t>
      </w:r>
      <w:r w:rsidRPr="00313430">
        <w:rPr>
          <w:rFonts w:ascii="Times New Roman" w:hAnsi="Times New Roman" w:cs="Times New Roman"/>
          <w:sz w:val="24"/>
          <w:szCs w:val="24"/>
        </w:rPr>
        <w:t xml:space="preserve"> apstākļi, ar kuriem iestāde saskaras</w:t>
      </w:r>
      <w:r>
        <w:rPr>
          <w:rFonts w:ascii="Times New Roman" w:hAnsi="Times New Roman" w:cs="Times New Roman"/>
          <w:sz w:val="24"/>
          <w:szCs w:val="24"/>
        </w:rPr>
        <w:t>, kā arī</w:t>
      </w:r>
      <w:r w:rsidRPr="00313430">
        <w:rPr>
          <w:rFonts w:ascii="Times New Roman" w:hAnsi="Times New Roman" w:cs="Times New Roman"/>
          <w:sz w:val="24"/>
          <w:szCs w:val="24"/>
        </w:rPr>
        <w:t xml:space="preserve"> paredzam</w:t>
      </w:r>
      <w:r>
        <w:rPr>
          <w:rFonts w:ascii="Times New Roman" w:hAnsi="Times New Roman" w:cs="Times New Roman"/>
          <w:sz w:val="24"/>
          <w:szCs w:val="24"/>
        </w:rPr>
        <w:t>ie</w:t>
      </w:r>
      <w:r w:rsidRPr="00313430">
        <w:rPr>
          <w:rFonts w:ascii="Times New Roman" w:hAnsi="Times New Roman" w:cs="Times New Roman"/>
          <w:sz w:val="24"/>
          <w:szCs w:val="24"/>
        </w:rPr>
        <w:t xml:space="preserve"> notikumi</w:t>
      </w:r>
      <w:r>
        <w:rPr>
          <w:rFonts w:ascii="Times New Roman" w:hAnsi="Times New Roman" w:cs="Times New Roman"/>
          <w:sz w:val="24"/>
          <w:szCs w:val="24"/>
        </w:rPr>
        <w:t xml:space="preserve"> nākotnē</w:t>
      </w:r>
      <w:r w:rsidRPr="00313430">
        <w:rPr>
          <w:rFonts w:ascii="Times New Roman" w:hAnsi="Times New Roman" w:cs="Times New Roman"/>
          <w:sz w:val="24"/>
          <w:szCs w:val="24"/>
        </w:rPr>
        <w:t>, kas var</w:t>
      </w:r>
      <w:r>
        <w:rPr>
          <w:rFonts w:ascii="Times New Roman" w:hAnsi="Times New Roman" w:cs="Times New Roman"/>
          <w:sz w:val="24"/>
          <w:szCs w:val="24"/>
        </w:rPr>
        <w:t>ētu</w:t>
      </w:r>
      <w:r w:rsidRPr="00313430">
        <w:rPr>
          <w:rFonts w:ascii="Times New Roman" w:hAnsi="Times New Roman" w:cs="Times New Roman"/>
          <w:sz w:val="24"/>
          <w:szCs w:val="24"/>
        </w:rPr>
        <w:t xml:space="preserve"> būtiski ietekmēt iestādes darbību</w:t>
      </w:r>
      <w:r>
        <w:rPr>
          <w:rFonts w:ascii="Times New Roman" w:hAnsi="Times New Roman" w:cs="Times New Roman"/>
          <w:sz w:val="24"/>
          <w:szCs w:val="24"/>
        </w:rPr>
        <w:t>;</w:t>
      </w:r>
      <w:r w:rsidRPr="00313430">
        <w:rPr>
          <w:rFonts w:ascii="Times New Roman" w:hAnsi="Times New Roman" w:cs="Times New Roman"/>
          <w:sz w:val="24"/>
          <w:szCs w:val="24"/>
        </w:rPr>
        <w:t xml:space="preserve"> </w:t>
      </w:r>
    </w:p>
    <w:p w14:paraId="6B6E5E55" w14:textId="3608E6CB" w:rsidR="007339CB" w:rsidRPr="00B31886" w:rsidRDefault="007339CB" w:rsidP="00B31886">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i</w:t>
      </w:r>
      <w:r w:rsidR="00FB531D" w:rsidRPr="00B31886">
        <w:rPr>
          <w:rFonts w:ascii="Times New Roman" w:eastAsia="Calibri" w:hAnsi="Times New Roman" w:cs="Times New Roman"/>
          <w:sz w:val="24"/>
          <w:szCs w:val="24"/>
          <w:lang w:eastAsia="lv-LV"/>
        </w:rPr>
        <w:t>nformāciju par budžeta izpildi</w:t>
      </w:r>
      <w:r w:rsidR="00C95C2F" w:rsidRPr="00B31886">
        <w:rPr>
          <w:rFonts w:ascii="Times New Roman" w:eastAsia="Calibri" w:hAnsi="Times New Roman" w:cs="Times New Roman"/>
          <w:sz w:val="24"/>
          <w:szCs w:val="24"/>
          <w:lang w:eastAsia="lv-LV"/>
        </w:rPr>
        <w:t xml:space="preserve"> (2</w:t>
      </w:r>
      <w:r w:rsidR="009D3560" w:rsidRPr="00B31886">
        <w:rPr>
          <w:rFonts w:ascii="Times New Roman" w:eastAsia="Calibri" w:hAnsi="Times New Roman" w:cs="Times New Roman"/>
          <w:sz w:val="24"/>
          <w:szCs w:val="24"/>
          <w:lang w:eastAsia="lv-LV"/>
        </w:rPr>
        <w:t>.</w:t>
      </w:r>
      <w:r w:rsidR="00C95C2F" w:rsidRPr="00B31886">
        <w:rPr>
          <w:rFonts w:ascii="Times New Roman" w:eastAsia="Calibri" w:hAnsi="Times New Roman" w:cs="Times New Roman"/>
          <w:sz w:val="24"/>
          <w:szCs w:val="24"/>
          <w:lang w:eastAsia="lv-LV"/>
        </w:rPr>
        <w:t>veidlapa)</w:t>
      </w:r>
      <w:r w:rsidRPr="00B31886">
        <w:rPr>
          <w:rFonts w:ascii="Times New Roman" w:eastAsia="Calibri" w:hAnsi="Times New Roman" w:cs="Times New Roman"/>
          <w:sz w:val="24"/>
          <w:szCs w:val="24"/>
          <w:lang w:eastAsia="lv-LV"/>
        </w:rPr>
        <w:t>:</w:t>
      </w:r>
    </w:p>
    <w:p w14:paraId="787E2895" w14:textId="759B6EEF" w:rsidR="007339CB" w:rsidRPr="00B31886" w:rsidRDefault="00B06354" w:rsidP="007339CB">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sidRPr="00B31886">
        <w:rPr>
          <w:rFonts w:ascii="Times New Roman" w:hAnsi="Times New Roman" w:cs="Times New Roman"/>
          <w:sz w:val="24"/>
          <w:szCs w:val="24"/>
        </w:rPr>
        <w:t>budžeta izstrādāšanas un klasifikācijas principi un budžeta izpilde</w:t>
      </w:r>
      <w:r w:rsidRPr="00B31886" w:rsidDel="007339CB">
        <w:rPr>
          <w:rFonts w:ascii="Times New Roman" w:hAnsi="Times New Roman" w:cs="Times New Roman"/>
          <w:sz w:val="24"/>
          <w:szCs w:val="24"/>
        </w:rPr>
        <w:t xml:space="preserve"> </w:t>
      </w:r>
      <w:r w:rsidR="0091460E" w:rsidRPr="00B31886">
        <w:rPr>
          <w:rFonts w:ascii="Times New Roman" w:hAnsi="Times New Roman" w:cs="Times New Roman"/>
          <w:sz w:val="24"/>
          <w:szCs w:val="24"/>
        </w:rPr>
        <w:t>pēc naudas plūsmas principa par pārskata periodu un iepriekšējo pārskata periodu atbilstoši ieņēmumu un izdevumu ekonomiskajām un funkcionālajām kategorijām, un finansēšanas klasifikācijām atbilstoši normatīvajiem aktiem budžetu klasifikācijas jomā</w:t>
      </w:r>
      <w:r w:rsidRPr="00B31886">
        <w:rPr>
          <w:rFonts w:ascii="Times New Roman" w:hAnsi="Times New Roman" w:cs="Times New Roman"/>
          <w:sz w:val="24"/>
          <w:szCs w:val="24"/>
        </w:rPr>
        <w:t>;</w:t>
      </w:r>
      <w:r w:rsidR="0091460E" w:rsidRPr="00B31886">
        <w:rPr>
          <w:rFonts w:ascii="Times New Roman" w:hAnsi="Times New Roman" w:cs="Times New Roman"/>
          <w:sz w:val="24"/>
          <w:szCs w:val="24"/>
        </w:rPr>
        <w:t xml:space="preserve"> </w:t>
      </w:r>
    </w:p>
    <w:p w14:paraId="60212FE1" w14:textId="5C4D18EC" w:rsidR="00B06354" w:rsidRPr="00B31886" w:rsidRDefault="007339CB" w:rsidP="00B31886">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sidRPr="00B31886">
        <w:rPr>
          <w:rFonts w:ascii="Times New Roman" w:hAnsi="Times New Roman" w:cs="Times New Roman"/>
          <w:sz w:val="24"/>
          <w:szCs w:val="24"/>
        </w:rPr>
        <w:t>pieļaujams, ka</w:t>
      </w:r>
      <w:r w:rsidR="0091460E" w:rsidRPr="00B31886">
        <w:rPr>
          <w:rFonts w:ascii="Times New Roman" w:hAnsi="Times New Roman" w:cs="Times New Roman"/>
          <w:sz w:val="24"/>
          <w:szCs w:val="24"/>
        </w:rPr>
        <w:t xml:space="preserve"> iepriekšējā perioda dati atšķiras no naudas plūsmas pārskatā norādītajiem iepriekšējā perioda datiem, ja ir konstatētas kļūdas, kas attiecas uz iepriekšējo pārskata periodu, vai pārskata periodā ir mainīta darījumu klasifikācija un norādīšanas kārtība</w:t>
      </w:r>
      <w:r w:rsidR="00CB7499" w:rsidRPr="00B31886">
        <w:rPr>
          <w:rFonts w:ascii="Times New Roman" w:hAnsi="Times New Roman" w:cs="Times New Roman"/>
          <w:sz w:val="24"/>
          <w:szCs w:val="24"/>
        </w:rPr>
        <w:t>.</w:t>
      </w:r>
    </w:p>
    <w:p w14:paraId="26C348BA" w14:textId="7843BF0E" w:rsidR="00B06354" w:rsidRPr="00B31886" w:rsidRDefault="00375530" w:rsidP="00B31886">
      <w:pPr>
        <w:numPr>
          <w:ilvl w:val="1"/>
          <w:numId w:val="1"/>
        </w:numPr>
        <w:spacing w:after="120" w:line="240" w:lineRule="auto"/>
        <w:ind w:left="993" w:right="-1" w:hanging="567"/>
        <w:jc w:val="both"/>
        <w:rPr>
          <w:rFonts w:ascii="Times New Roman" w:eastAsia="Calibri" w:hAnsi="Times New Roman" w:cs="Times New Roman"/>
          <w:sz w:val="24"/>
          <w:szCs w:val="24"/>
          <w:lang w:eastAsia="lv-LV"/>
        </w:rPr>
      </w:pPr>
      <w:r w:rsidRPr="00B31886">
        <w:rPr>
          <w:rFonts w:ascii="Times New Roman" w:eastAsia="Calibri" w:hAnsi="Times New Roman" w:cs="Times New Roman"/>
          <w:b/>
          <w:bCs/>
          <w:sz w:val="24"/>
          <w:szCs w:val="24"/>
          <w:lang w:eastAsia="lv-LV"/>
        </w:rPr>
        <w:t>Finanšu pārskat</w:t>
      </w:r>
      <w:r w:rsidR="00B06354" w:rsidRPr="00B31886">
        <w:rPr>
          <w:rFonts w:ascii="Times New Roman" w:eastAsia="Calibri" w:hAnsi="Times New Roman" w:cs="Times New Roman"/>
          <w:b/>
          <w:bCs/>
          <w:sz w:val="24"/>
          <w:szCs w:val="24"/>
          <w:lang w:eastAsia="lv-LV"/>
        </w:rPr>
        <w:t>u</w:t>
      </w:r>
      <w:r w:rsidR="009D3560" w:rsidRPr="00B31886">
        <w:rPr>
          <w:rFonts w:ascii="Times New Roman" w:eastAsia="Calibri" w:hAnsi="Times New Roman" w:cs="Times New Roman"/>
          <w:sz w:val="24"/>
          <w:szCs w:val="24"/>
          <w:lang w:eastAsia="lv-LV"/>
        </w:rPr>
        <w:t xml:space="preserve">, </w:t>
      </w:r>
      <w:r w:rsidR="00B06354" w:rsidRPr="00881BC5">
        <w:rPr>
          <w:rFonts w:ascii="Times New Roman" w:eastAsia="Calibri" w:hAnsi="Times New Roman" w:cs="Times New Roman"/>
          <w:sz w:val="24"/>
          <w:szCs w:val="24"/>
          <w:lang w:eastAsia="lv-LV"/>
        </w:rPr>
        <w:t xml:space="preserve">kurā </w:t>
      </w:r>
      <w:r w:rsidR="00B06354">
        <w:rPr>
          <w:rFonts w:ascii="Times New Roman" w:eastAsia="Calibri" w:hAnsi="Times New Roman" w:cs="Times New Roman"/>
          <w:sz w:val="24"/>
          <w:szCs w:val="24"/>
          <w:lang w:eastAsia="lv-LV"/>
        </w:rPr>
        <w:t xml:space="preserve">ietver šādu </w:t>
      </w:r>
      <w:r w:rsidR="00B06354" w:rsidRPr="00881BC5">
        <w:rPr>
          <w:rFonts w:ascii="Times New Roman" w:eastAsia="Calibri" w:hAnsi="Times New Roman" w:cs="Times New Roman"/>
          <w:sz w:val="24"/>
          <w:szCs w:val="24"/>
          <w:lang w:eastAsia="lv-LV"/>
        </w:rPr>
        <w:t>i</w:t>
      </w:r>
      <w:r w:rsidR="00B06354" w:rsidRPr="00881BC5">
        <w:rPr>
          <w:rFonts w:ascii="Times New Roman" w:hAnsi="Times New Roman" w:cs="Times New Roman"/>
          <w:sz w:val="24"/>
          <w:szCs w:val="24"/>
        </w:rPr>
        <w:t>nformāciju</w:t>
      </w:r>
      <w:r w:rsidR="007F0A23" w:rsidRPr="00B31886">
        <w:rPr>
          <w:rFonts w:ascii="Times New Roman" w:eastAsia="Calibri" w:hAnsi="Times New Roman" w:cs="Times New Roman"/>
          <w:sz w:val="24"/>
          <w:szCs w:val="24"/>
          <w:lang w:eastAsia="lv-LV"/>
        </w:rPr>
        <w:t>:</w:t>
      </w:r>
    </w:p>
    <w:p w14:paraId="4615F5F5" w14:textId="744B0352" w:rsidR="00B06354" w:rsidRDefault="00BC296F" w:rsidP="00B06354">
      <w:pPr>
        <w:numPr>
          <w:ilvl w:val="2"/>
          <w:numId w:val="1"/>
        </w:numPr>
        <w:spacing w:after="120" w:line="240" w:lineRule="auto"/>
        <w:ind w:left="1701" w:right="-1" w:hanging="708"/>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u w:val="single"/>
          <w:lang w:eastAsia="lv-LV"/>
        </w:rPr>
        <w:t>pārskat</w:t>
      </w:r>
      <w:r w:rsidR="00B06354" w:rsidRPr="00B31886">
        <w:rPr>
          <w:rFonts w:ascii="Times New Roman" w:eastAsia="Calibri" w:hAnsi="Times New Roman" w:cs="Times New Roman"/>
          <w:sz w:val="24"/>
          <w:szCs w:val="24"/>
          <w:u w:val="single"/>
          <w:lang w:eastAsia="lv-LV"/>
        </w:rPr>
        <w:t>s</w:t>
      </w:r>
      <w:r w:rsidRPr="00B31886">
        <w:rPr>
          <w:rFonts w:ascii="Times New Roman" w:eastAsia="Calibri" w:hAnsi="Times New Roman" w:cs="Times New Roman"/>
          <w:sz w:val="24"/>
          <w:szCs w:val="24"/>
          <w:u w:val="single"/>
          <w:lang w:eastAsia="lv-LV"/>
        </w:rPr>
        <w:t xml:space="preserve"> par iestādes aktīvu, saistību un pašu kapitāla apmēru</w:t>
      </w:r>
      <w:r w:rsidRPr="00B06354">
        <w:rPr>
          <w:rFonts w:ascii="Times New Roman" w:eastAsia="Calibri" w:hAnsi="Times New Roman" w:cs="Times New Roman"/>
          <w:sz w:val="24"/>
          <w:szCs w:val="24"/>
          <w:lang w:eastAsia="lv-LV"/>
        </w:rPr>
        <w:t xml:space="preserve"> </w:t>
      </w:r>
      <w:r w:rsidR="00B06354">
        <w:rPr>
          <w:rFonts w:ascii="Times New Roman" w:eastAsia="Calibri" w:hAnsi="Times New Roman" w:cs="Times New Roman"/>
          <w:sz w:val="24"/>
          <w:szCs w:val="24"/>
          <w:lang w:eastAsia="lv-LV"/>
        </w:rPr>
        <w:t>(</w:t>
      </w:r>
      <w:r w:rsidRPr="00B06354">
        <w:rPr>
          <w:rFonts w:ascii="Times New Roman" w:eastAsia="Calibri" w:hAnsi="Times New Roman" w:cs="Times New Roman"/>
          <w:sz w:val="24"/>
          <w:szCs w:val="24"/>
          <w:lang w:eastAsia="lv-LV"/>
        </w:rPr>
        <w:t>veidlapa Nr.</w:t>
      </w:r>
      <w:r w:rsidR="00036F5C" w:rsidRPr="00B06354">
        <w:rPr>
          <w:rFonts w:ascii="Times New Roman" w:eastAsia="Calibri" w:hAnsi="Times New Roman" w:cs="Times New Roman"/>
          <w:sz w:val="24"/>
          <w:szCs w:val="24"/>
          <w:lang w:eastAsia="lv-LV"/>
        </w:rPr>
        <w:t xml:space="preserve"> </w:t>
      </w:r>
      <w:r w:rsidRPr="00B06354">
        <w:rPr>
          <w:rFonts w:ascii="Times New Roman" w:eastAsia="Calibri" w:hAnsi="Times New Roman" w:cs="Times New Roman"/>
          <w:sz w:val="24"/>
          <w:szCs w:val="24"/>
          <w:lang w:eastAsia="lv-LV"/>
        </w:rPr>
        <w:t>l "Bilance"</w:t>
      </w:r>
      <w:r w:rsidR="00B06354">
        <w:rPr>
          <w:rFonts w:ascii="Times New Roman" w:eastAsia="Calibri" w:hAnsi="Times New Roman" w:cs="Times New Roman"/>
          <w:sz w:val="24"/>
          <w:szCs w:val="24"/>
          <w:lang w:eastAsia="lv-LV"/>
        </w:rPr>
        <w:t xml:space="preserve">), kas </w:t>
      </w:r>
      <w:r w:rsidR="00766446" w:rsidRPr="00B31886">
        <w:rPr>
          <w:rFonts w:ascii="Times New Roman" w:eastAsia="Calibri" w:hAnsi="Times New Roman" w:cs="Times New Roman"/>
          <w:sz w:val="24"/>
          <w:szCs w:val="24"/>
          <w:lang w:eastAsia="lv-LV"/>
        </w:rPr>
        <w:t>parāda aktīvu, saistību un pašu kapitāla apmēru</w:t>
      </w:r>
      <w:r w:rsidR="00B06354">
        <w:rPr>
          <w:rFonts w:ascii="Times New Roman" w:eastAsia="Calibri" w:hAnsi="Times New Roman" w:cs="Times New Roman"/>
          <w:sz w:val="24"/>
          <w:szCs w:val="24"/>
          <w:lang w:eastAsia="lv-LV"/>
        </w:rPr>
        <w:t>, un to sastādot ievēro, ka:</w:t>
      </w:r>
      <w:r w:rsidR="00766446" w:rsidRPr="00B31886">
        <w:rPr>
          <w:rFonts w:ascii="Times New Roman" w:eastAsia="Calibri" w:hAnsi="Times New Roman" w:cs="Times New Roman"/>
          <w:sz w:val="24"/>
          <w:szCs w:val="24"/>
          <w:lang w:eastAsia="lv-LV"/>
        </w:rPr>
        <w:t xml:space="preserve"> </w:t>
      </w:r>
    </w:p>
    <w:p w14:paraId="49577EE6" w14:textId="1FB114E7"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w:t>
      </w:r>
      <w:r w:rsidR="00766446" w:rsidRPr="00B31886">
        <w:rPr>
          <w:rFonts w:ascii="Times New Roman" w:eastAsia="Calibri" w:hAnsi="Times New Roman" w:cs="Times New Roman"/>
          <w:sz w:val="24"/>
          <w:szCs w:val="24"/>
          <w:lang w:eastAsia="lv-LV"/>
        </w:rPr>
        <w:t>ilances aktīvā ir sadaļas "Ilgtermiņa ieguldījumi" un "Apgrozāmie līdzekļi", pasīvā - "Pašu kapitāls", "Uzkrājumi" un "Saistības"</w:t>
      </w:r>
      <w:r>
        <w:rPr>
          <w:rFonts w:ascii="Times New Roman" w:eastAsia="Calibri" w:hAnsi="Times New Roman" w:cs="Times New Roman"/>
          <w:sz w:val="24"/>
          <w:szCs w:val="24"/>
          <w:lang w:eastAsia="lv-LV"/>
        </w:rPr>
        <w:t>;</w:t>
      </w:r>
    </w:p>
    <w:p w14:paraId="20220136" w14:textId="6EFC9648"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766446" w:rsidRPr="00B31886">
        <w:rPr>
          <w:rFonts w:ascii="Times New Roman" w:eastAsia="Calibri" w:hAnsi="Times New Roman" w:cs="Times New Roman"/>
          <w:sz w:val="24"/>
          <w:szCs w:val="24"/>
          <w:lang w:eastAsia="lv-LV"/>
        </w:rPr>
        <w:t>lgtermiņa ieguldījumus un apgrozāmos līdzekļus, kā arī ilgtermiņa un īstermiņa saistības uzrāda atsevišķi</w:t>
      </w:r>
      <w:r>
        <w:rPr>
          <w:rFonts w:ascii="Times New Roman" w:eastAsia="Calibri" w:hAnsi="Times New Roman" w:cs="Times New Roman"/>
          <w:sz w:val="24"/>
          <w:szCs w:val="24"/>
          <w:lang w:eastAsia="lv-LV"/>
        </w:rPr>
        <w:t>;</w:t>
      </w:r>
    </w:p>
    <w:p w14:paraId="0D7C9EC2" w14:textId="6B1E4762"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w:t>
      </w:r>
      <w:r w:rsidR="00766446" w:rsidRPr="00B31886">
        <w:rPr>
          <w:rFonts w:ascii="Times New Roman" w:eastAsia="Calibri" w:hAnsi="Times New Roman" w:cs="Times New Roman"/>
          <w:sz w:val="24"/>
          <w:szCs w:val="24"/>
          <w:lang w:eastAsia="lv-LV"/>
        </w:rPr>
        <w:t>ilances aktīva kopsumma ir vienāda ar bilances pasīva kopsummu</w:t>
      </w:r>
      <w:r>
        <w:rPr>
          <w:rFonts w:ascii="Times New Roman" w:eastAsia="Calibri" w:hAnsi="Times New Roman" w:cs="Times New Roman"/>
          <w:sz w:val="24"/>
          <w:szCs w:val="24"/>
          <w:lang w:eastAsia="lv-LV"/>
        </w:rPr>
        <w:t>;</w:t>
      </w:r>
    </w:p>
    <w:p w14:paraId="191C7F8A" w14:textId="03A564EE"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w:t>
      </w:r>
      <w:r w:rsidR="00766446" w:rsidRPr="00B31886">
        <w:rPr>
          <w:rFonts w:ascii="Times New Roman" w:eastAsia="Calibri" w:hAnsi="Times New Roman" w:cs="Times New Roman"/>
          <w:sz w:val="24"/>
          <w:szCs w:val="24"/>
          <w:lang w:eastAsia="lv-LV"/>
        </w:rPr>
        <w:t>emateriālos ieguldījumus, pamatlīdzekļus un ieguldījuma īpašumus bilancē norāda atlikušajā vērtībā, ko aprēķina, no sākotnējās vērtības atskaitot nolietojumu (amortizāciju) un vērtības samazinājumu</w:t>
      </w:r>
      <w:r>
        <w:rPr>
          <w:rFonts w:ascii="Times New Roman" w:eastAsia="Calibri" w:hAnsi="Times New Roman" w:cs="Times New Roman"/>
          <w:sz w:val="24"/>
          <w:szCs w:val="24"/>
          <w:lang w:eastAsia="lv-LV"/>
        </w:rPr>
        <w:t>;</w:t>
      </w:r>
    </w:p>
    <w:p w14:paraId="2FA6C29C" w14:textId="3B5E8075" w:rsidR="00B06354" w:rsidRDefault="00B06354" w:rsidP="00B06354">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w:t>
      </w:r>
      <w:r w:rsidR="00766446" w:rsidRPr="00B31886">
        <w:rPr>
          <w:rFonts w:ascii="Times New Roman" w:eastAsia="Calibri" w:hAnsi="Times New Roman" w:cs="Times New Roman"/>
          <w:sz w:val="24"/>
          <w:szCs w:val="24"/>
          <w:lang w:eastAsia="lv-LV"/>
        </w:rPr>
        <w:t>ioloģiskos aktīvus, k</w:t>
      </w:r>
      <w:r>
        <w:rPr>
          <w:rFonts w:ascii="Times New Roman" w:eastAsia="Calibri" w:hAnsi="Times New Roman" w:cs="Times New Roman"/>
          <w:sz w:val="24"/>
          <w:szCs w:val="24"/>
          <w:lang w:eastAsia="lv-LV"/>
        </w:rPr>
        <w:t>o</w:t>
      </w:r>
      <w:r w:rsidR="00766446" w:rsidRPr="00B31886">
        <w:rPr>
          <w:rFonts w:ascii="Times New Roman" w:eastAsia="Calibri" w:hAnsi="Times New Roman" w:cs="Times New Roman"/>
          <w:sz w:val="24"/>
          <w:szCs w:val="24"/>
          <w:lang w:eastAsia="lv-LV"/>
        </w:rPr>
        <w:t xml:space="preserve"> paredzēts izmantot lauksaimnieciskajā darbībā, bilancē norāda patiesajā vai kadastrālajā vērtībā</w:t>
      </w:r>
      <w:r>
        <w:rPr>
          <w:rFonts w:ascii="Times New Roman" w:eastAsia="Calibri" w:hAnsi="Times New Roman" w:cs="Times New Roman"/>
          <w:sz w:val="24"/>
          <w:szCs w:val="24"/>
          <w:lang w:eastAsia="lv-LV"/>
        </w:rPr>
        <w:t>;</w:t>
      </w:r>
    </w:p>
    <w:p w14:paraId="10CC7A6F" w14:textId="06DE03A8" w:rsidR="00B06354" w:rsidRPr="00B31886" w:rsidRDefault="00B06354" w:rsidP="00B31886">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w:t>
      </w:r>
      <w:r w:rsidR="00766446" w:rsidRPr="00B31886">
        <w:rPr>
          <w:rFonts w:ascii="Times New Roman" w:eastAsia="Calibri" w:hAnsi="Times New Roman" w:cs="Times New Roman"/>
          <w:sz w:val="24"/>
          <w:szCs w:val="24"/>
          <w:lang w:eastAsia="lv-LV"/>
        </w:rPr>
        <w:t>lgtermiņa un īstermiņa prasības, finanšu ieguldījumus, kuriem aprēķināts vērtības samazinājums, samaksātos avansus un nākamo periodu izdevumus bilancē norāda neto vērtībā, ko aprēķina, no uzskaites vērtības atskaitot vērtības samazinājumu</w:t>
      </w:r>
      <w:r>
        <w:rPr>
          <w:rFonts w:ascii="Times New Roman" w:eastAsia="Calibri" w:hAnsi="Times New Roman" w:cs="Times New Roman"/>
          <w:sz w:val="24"/>
          <w:szCs w:val="24"/>
          <w:lang w:eastAsia="lv-LV"/>
        </w:rPr>
        <w:t>;</w:t>
      </w:r>
    </w:p>
    <w:p w14:paraId="6DBF6537" w14:textId="1E00C68D" w:rsidR="00B06354" w:rsidRPr="00B31886" w:rsidRDefault="00B06354" w:rsidP="00B31886">
      <w:pPr>
        <w:numPr>
          <w:ilvl w:val="3"/>
          <w:numId w:val="1"/>
        </w:numPr>
        <w:spacing w:after="120" w:line="240" w:lineRule="auto"/>
        <w:ind w:left="2694" w:right="-1" w:hanging="993"/>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f</w:t>
      </w:r>
      <w:r w:rsidR="00766446" w:rsidRPr="00B31886">
        <w:rPr>
          <w:rFonts w:ascii="Times New Roman" w:eastAsia="Calibri" w:hAnsi="Times New Roman" w:cs="Times New Roman"/>
          <w:sz w:val="24"/>
          <w:szCs w:val="24"/>
          <w:lang w:eastAsia="lv-LV"/>
        </w:rPr>
        <w:t xml:space="preserve">inanšu instrumentus bilancē norāda šādā vērtībā: </w:t>
      </w:r>
    </w:p>
    <w:p w14:paraId="65DA0A28" w14:textId="59456115"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 xml:space="preserve">prasības un aizdevumus, kā arī līdz termiņa beigām turētus ieguldījumus </w:t>
      </w:r>
      <w:r w:rsidR="00B06354">
        <w:rPr>
          <w:rFonts w:ascii="Times New Roman" w:eastAsia="Calibri" w:hAnsi="Times New Roman" w:cs="Times New Roman"/>
          <w:sz w:val="24"/>
          <w:szCs w:val="24"/>
          <w:lang w:eastAsia="lv-LV"/>
        </w:rPr>
        <w:t>norāda</w:t>
      </w:r>
      <w:r w:rsidRPr="00B31886">
        <w:rPr>
          <w:rFonts w:ascii="Times New Roman" w:eastAsia="Calibri" w:hAnsi="Times New Roman" w:cs="Times New Roman"/>
          <w:sz w:val="24"/>
          <w:szCs w:val="24"/>
          <w:lang w:eastAsia="lv-LV"/>
        </w:rPr>
        <w:t xml:space="preserve"> neto vērtībā, ko aprēķina, no amortizētās vērtības atskaitot vērtības samazinājumu; </w:t>
      </w:r>
    </w:p>
    <w:p w14:paraId="5C637D22" w14:textId="011A9F89"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patiesajā vērtībā novērtētus finanšu aktīvus un finanšu saistības, kuru</w:t>
      </w:r>
      <w:r w:rsidR="00C125C1" w:rsidRPr="00B31886">
        <w:rPr>
          <w:rFonts w:ascii="Times New Roman" w:eastAsia="Calibri" w:hAnsi="Times New Roman" w:cs="Times New Roman"/>
          <w:sz w:val="24"/>
          <w:szCs w:val="24"/>
          <w:lang w:eastAsia="lv-LV"/>
        </w:rPr>
        <w:t>, vērtības izmaiņas atzītas,</w:t>
      </w:r>
      <w:r w:rsidRPr="00B31886">
        <w:rPr>
          <w:rFonts w:ascii="Times New Roman" w:eastAsia="Calibri" w:hAnsi="Times New Roman" w:cs="Times New Roman"/>
          <w:sz w:val="24"/>
          <w:szCs w:val="24"/>
          <w:lang w:eastAsia="lv-LV"/>
        </w:rPr>
        <w:t xml:space="preserve"> pārskata perioda ieņēmumos vai izdevumos</w:t>
      </w:r>
      <w:r w:rsidR="00B06354">
        <w:rPr>
          <w:rFonts w:ascii="Times New Roman" w:eastAsia="Calibri" w:hAnsi="Times New Roman" w:cs="Times New Roman"/>
          <w:sz w:val="24"/>
          <w:szCs w:val="24"/>
          <w:lang w:eastAsia="lv-LV"/>
        </w:rPr>
        <w:t xml:space="preserve"> norāda</w:t>
      </w:r>
      <w:r w:rsidRPr="00B31886">
        <w:rPr>
          <w:rFonts w:ascii="Times New Roman" w:eastAsia="Calibri" w:hAnsi="Times New Roman" w:cs="Times New Roman"/>
          <w:sz w:val="24"/>
          <w:szCs w:val="24"/>
          <w:lang w:eastAsia="lv-LV"/>
        </w:rPr>
        <w:t xml:space="preserve"> patiesajā vērtībā;</w:t>
      </w:r>
    </w:p>
    <w:p w14:paraId="1ADB2062" w14:textId="08F8824D"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lastRenderedPageBreak/>
        <w:t xml:space="preserve">patiesajā vērtībā novērtētus pārdošanai pieejamus finanšu instrumentus </w:t>
      </w:r>
      <w:r w:rsidR="00B06354">
        <w:rPr>
          <w:rFonts w:ascii="Times New Roman" w:eastAsia="Calibri" w:hAnsi="Times New Roman" w:cs="Times New Roman"/>
          <w:sz w:val="24"/>
          <w:szCs w:val="24"/>
          <w:lang w:eastAsia="lv-LV"/>
        </w:rPr>
        <w:t>norāda</w:t>
      </w:r>
      <w:r w:rsidRPr="00B31886">
        <w:rPr>
          <w:rFonts w:ascii="Times New Roman" w:eastAsia="Calibri" w:hAnsi="Times New Roman" w:cs="Times New Roman"/>
          <w:sz w:val="24"/>
          <w:szCs w:val="24"/>
          <w:lang w:eastAsia="lv-LV"/>
        </w:rPr>
        <w:t xml:space="preserve"> neto vērtībā, ko aprēķina, no patiesās vērtības atskaitot vērtības samazinājumu; </w:t>
      </w:r>
    </w:p>
    <w:p w14:paraId="436D883D" w14:textId="56AFEBC1" w:rsidR="00B06354" w:rsidRPr="00B31886" w:rsidRDefault="00766446"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 xml:space="preserve">izmaksu vērtībā novērtētus pārdošanai pieejamus finanšu instrumentus </w:t>
      </w:r>
      <w:r w:rsidR="00B06354">
        <w:rPr>
          <w:rFonts w:ascii="Times New Roman" w:eastAsia="Calibri" w:hAnsi="Times New Roman" w:cs="Times New Roman"/>
          <w:sz w:val="24"/>
          <w:szCs w:val="24"/>
          <w:lang w:eastAsia="lv-LV"/>
        </w:rPr>
        <w:t>norāda</w:t>
      </w:r>
      <w:r w:rsidRPr="00B31886">
        <w:rPr>
          <w:rFonts w:ascii="Times New Roman" w:eastAsia="Calibri" w:hAnsi="Times New Roman" w:cs="Times New Roman"/>
          <w:sz w:val="24"/>
          <w:szCs w:val="24"/>
          <w:lang w:eastAsia="lv-LV"/>
        </w:rPr>
        <w:t xml:space="preserve"> neto vērtībā, ko aprēķina no izmaksu vērtības atskaitot vērtības samazinājumu; </w:t>
      </w:r>
    </w:p>
    <w:p w14:paraId="368F4F3D" w14:textId="35F42660" w:rsidR="00B06354" w:rsidRDefault="00766446" w:rsidP="00B06354">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sidRPr="00B31886">
        <w:rPr>
          <w:rFonts w:ascii="Times New Roman" w:eastAsia="Calibri" w:hAnsi="Times New Roman" w:cs="Times New Roman"/>
          <w:sz w:val="24"/>
          <w:szCs w:val="24"/>
          <w:lang w:eastAsia="lv-LV"/>
        </w:rPr>
        <w:t xml:space="preserve">pārējās finanšu saistības (izņemot finanšu garantiju līgumus) </w:t>
      </w:r>
      <w:r w:rsidR="00B06354">
        <w:rPr>
          <w:rFonts w:ascii="Times New Roman" w:eastAsia="Calibri" w:hAnsi="Times New Roman" w:cs="Times New Roman"/>
          <w:sz w:val="24"/>
          <w:szCs w:val="24"/>
          <w:lang w:eastAsia="lv-LV"/>
        </w:rPr>
        <w:t xml:space="preserve">norāda </w:t>
      </w:r>
      <w:r w:rsidRPr="00B31886">
        <w:rPr>
          <w:rFonts w:ascii="Times New Roman" w:eastAsia="Calibri" w:hAnsi="Times New Roman" w:cs="Times New Roman"/>
          <w:sz w:val="24"/>
          <w:szCs w:val="24"/>
          <w:lang w:eastAsia="lv-LV"/>
        </w:rPr>
        <w:t xml:space="preserve">amortizētajā vērtībā. </w:t>
      </w:r>
    </w:p>
    <w:p w14:paraId="2D849C57" w14:textId="727113DA" w:rsidR="00B06354" w:rsidRDefault="00B06354" w:rsidP="00B06354">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w:t>
      </w:r>
      <w:r w:rsidR="00766446" w:rsidRPr="00B31886">
        <w:rPr>
          <w:rFonts w:ascii="Times New Roman" w:eastAsia="Calibri" w:hAnsi="Times New Roman" w:cs="Times New Roman"/>
          <w:sz w:val="24"/>
          <w:szCs w:val="24"/>
          <w:lang w:eastAsia="lv-LV"/>
        </w:rPr>
        <w:t xml:space="preserve">rājumus (ieskaitot avansa maksājumus par krājumiem) norāda atlikušajā vērtībā, ko aprēķina, no sākotnējās vērtības atskaitot vērtības samazinājumu. </w:t>
      </w:r>
    </w:p>
    <w:p w14:paraId="413BE00B" w14:textId="44968838" w:rsidR="00B06354" w:rsidRDefault="00B06354" w:rsidP="00B06354">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u</w:t>
      </w:r>
      <w:r w:rsidR="00766446" w:rsidRPr="00B31886">
        <w:rPr>
          <w:rFonts w:ascii="Times New Roman" w:eastAsia="Calibri" w:hAnsi="Times New Roman" w:cs="Times New Roman"/>
          <w:sz w:val="24"/>
          <w:szCs w:val="24"/>
          <w:lang w:eastAsia="lv-LV"/>
        </w:rPr>
        <w:t>zkrājumus norāda pienākuma izpildei nepieciešamo resursu visticamākās aplēses pašreizējā vērtībā</w:t>
      </w:r>
      <w:r>
        <w:rPr>
          <w:rFonts w:ascii="Times New Roman" w:eastAsia="Calibri" w:hAnsi="Times New Roman" w:cs="Times New Roman"/>
          <w:sz w:val="24"/>
          <w:szCs w:val="24"/>
          <w:lang w:eastAsia="lv-LV"/>
        </w:rPr>
        <w:t>;</w:t>
      </w:r>
    </w:p>
    <w:p w14:paraId="2E4C49D9" w14:textId="024590E7" w:rsidR="00B06354" w:rsidRPr="00B31886" w:rsidRDefault="00B06354" w:rsidP="00B31886">
      <w:pPr>
        <w:numPr>
          <w:ilvl w:val="4"/>
          <w:numId w:val="1"/>
        </w:numPr>
        <w:spacing w:after="120" w:line="240" w:lineRule="auto"/>
        <w:ind w:left="3686" w:right="-1" w:hanging="992"/>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s</w:t>
      </w:r>
      <w:r w:rsidR="00766446" w:rsidRPr="00B31886">
        <w:rPr>
          <w:rFonts w:ascii="Times New Roman" w:eastAsia="Calibri" w:hAnsi="Times New Roman" w:cs="Times New Roman"/>
          <w:sz w:val="24"/>
          <w:szCs w:val="24"/>
          <w:lang w:eastAsia="lv-LV"/>
        </w:rPr>
        <w:t>aistības (izņemot finanšu instrumentus) bilancē norāda amortizētajā vērtībā</w:t>
      </w:r>
      <w:r>
        <w:rPr>
          <w:rFonts w:ascii="Times New Roman" w:eastAsia="Calibri" w:hAnsi="Times New Roman" w:cs="Times New Roman"/>
          <w:sz w:val="24"/>
          <w:szCs w:val="24"/>
          <w:lang w:eastAsia="lv-LV"/>
        </w:rPr>
        <w:t>;</w:t>
      </w:r>
    </w:p>
    <w:p w14:paraId="6663CC76" w14:textId="0F77C6C3" w:rsidR="00B06354" w:rsidRPr="00B31886" w:rsidRDefault="00B06354" w:rsidP="00B31886">
      <w:pPr>
        <w:spacing w:after="120" w:line="240" w:lineRule="auto"/>
        <w:ind w:left="2694" w:right="-1"/>
        <w:jc w:val="both"/>
        <w:rPr>
          <w:rFonts w:ascii="Times New Roman" w:hAnsi="Times New Roman" w:cs="Times New Roman"/>
          <w:sz w:val="24"/>
          <w:szCs w:val="24"/>
        </w:rPr>
      </w:pPr>
      <w:r>
        <w:rPr>
          <w:rFonts w:ascii="Times New Roman" w:hAnsi="Times New Roman" w:cs="Times New Roman"/>
          <w:sz w:val="24"/>
          <w:szCs w:val="24"/>
        </w:rPr>
        <w:t xml:space="preserve">Bilancē </w:t>
      </w:r>
      <w:r w:rsidR="00323D67" w:rsidRPr="00B31886">
        <w:rPr>
          <w:rFonts w:ascii="Times New Roman" w:hAnsi="Times New Roman" w:cs="Times New Roman"/>
          <w:sz w:val="24"/>
          <w:szCs w:val="24"/>
        </w:rPr>
        <w:t>norāda tās piezīmes numuru, kurā sniegts bilances posteņa skaidrojums. Ja finanšu</w:t>
      </w:r>
      <w:r w:rsidR="00434920" w:rsidRPr="00B31886">
        <w:rPr>
          <w:rFonts w:ascii="Times New Roman" w:hAnsi="Times New Roman" w:cs="Times New Roman"/>
          <w:sz w:val="24"/>
          <w:szCs w:val="24"/>
        </w:rPr>
        <w:t xml:space="preserve"> </w:t>
      </w:r>
      <w:r w:rsidR="00323D67" w:rsidRPr="00B31886">
        <w:rPr>
          <w:rFonts w:ascii="Times New Roman" w:hAnsi="Times New Roman" w:cs="Times New Roman"/>
          <w:sz w:val="24"/>
          <w:szCs w:val="24"/>
        </w:rPr>
        <w:t>pārskata posteņu skaidrojums aptver vairāku pārskatu posteņus, pārskatā norāda visaptverošās piezīmes numuru</w:t>
      </w:r>
      <w:r>
        <w:rPr>
          <w:rFonts w:ascii="Times New Roman" w:hAnsi="Times New Roman" w:cs="Times New Roman"/>
          <w:sz w:val="24"/>
          <w:szCs w:val="24"/>
        </w:rPr>
        <w:t>;</w:t>
      </w:r>
      <w:bookmarkStart w:id="1" w:name="bookmark8"/>
    </w:p>
    <w:p w14:paraId="113ACAC2" w14:textId="2B45ADD6" w:rsidR="008C6CB8" w:rsidRPr="00B31886" w:rsidRDefault="00036F5C" w:rsidP="00B31886">
      <w:pPr>
        <w:numPr>
          <w:ilvl w:val="2"/>
          <w:numId w:val="1"/>
        </w:numPr>
        <w:spacing w:after="120" w:line="240" w:lineRule="auto"/>
        <w:ind w:left="1701" w:right="-1" w:hanging="708"/>
        <w:jc w:val="both"/>
        <w:rPr>
          <w:rFonts w:ascii="Times New Roman" w:hAnsi="Times New Roman" w:cs="Times New Roman"/>
          <w:sz w:val="24"/>
          <w:szCs w:val="24"/>
        </w:rPr>
      </w:pPr>
      <w:r w:rsidRPr="00B31886">
        <w:rPr>
          <w:rFonts w:ascii="Times New Roman" w:hAnsi="Times New Roman" w:cs="Times New Roman"/>
          <w:sz w:val="24"/>
          <w:szCs w:val="24"/>
          <w:u w:val="single"/>
        </w:rPr>
        <w:t>pārskat</w:t>
      </w:r>
      <w:r w:rsidR="00B06354" w:rsidRPr="00B31886">
        <w:rPr>
          <w:rFonts w:ascii="Times New Roman" w:hAnsi="Times New Roman" w:cs="Times New Roman"/>
          <w:sz w:val="24"/>
          <w:szCs w:val="24"/>
          <w:u w:val="single"/>
        </w:rPr>
        <w:t>s</w:t>
      </w:r>
      <w:r w:rsidRPr="00B31886">
        <w:rPr>
          <w:rFonts w:ascii="Times New Roman" w:hAnsi="Times New Roman" w:cs="Times New Roman"/>
          <w:sz w:val="24"/>
          <w:szCs w:val="24"/>
          <w:u w:val="single"/>
        </w:rPr>
        <w:t xml:space="preserve"> par darbības finansiālajiem rezultātiem</w:t>
      </w:r>
      <w:r w:rsidRPr="00B31886">
        <w:rPr>
          <w:rFonts w:ascii="Times New Roman" w:hAnsi="Times New Roman" w:cs="Times New Roman"/>
          <w:sz w:val="24"/>
          <w:szCs w:val="24"/>
        </w:rPr>
        <w:t xml:space="preserve"> </w:t>
      </w:r>
      <w:r w:rsidR="00B06354">
        <w:rPr>
          <w:rFonts w:ascii="Times New Roman" w:hAnsi="Times New Roman" w:cs="Times New Roman"/>
          <w:sz w:val="24"/>
          <w:szCs w:val="24"/>
        </w:rPr>
        <w:t>(</w:t>
      </w:r>
      <w:r w:rsidRPr="00B31886">
        <w:rPr>
          <w:rFonts w:ascii="Times New Roman" w:hAnsi="Times New Roman" w:cs="Times New Roman"/>
          <w:sz w:val="24"/>
          <w:szCs w:val="24"/>
        </w:rPr>
        <w:t>veidlapa Nr.</w:t>
      </w:r>
      <w:r w:rsidR="001D78DE" w:rsidRPr="00B31886">
        <w:rPr>
          <w:rFonts w:ascii="Times New Roman" w:hAnsi="Times New Roman" w:cs="Times New Roman"/>
          <w:sz w:val="24"/>
          <w:szCs w:val="24"/>
        </w:rPr>
        <w:t xml:space="preserve"> </w:t>
      </w:r>
      <w:r w:rsidRPr="00B31886">
        <w:rPr>
          <w:rFonts w:ascii="Times New Roman" w:hAnsi="Times New Roman" w:cs="Times New Roman"/>
          <w:sz w:val="24"/>
          <w:szCs w:val="24"/>
        </w:rPr>
        <w:t>FD</w:t>
      </w:r>
      <w:bookmarkEnd w:id="1"/>
      <w:r w:rsidR="00B06354">
        <w:rPr>
          <w:rFonts w:ascii="Times New Roman" w:hAnsi="Times New Roman" w:cs="Times New Roman"/>
          <w:sz w:val="24"/>
          <w:szCs w:val="24"/>
        </w:rPr>
        <w:t>)</w:t>
      </w:r>
      <w:r w:rsidR="008C6CB8">
        <w:rPr>
          <w:rFonts w:ascii="Times New Roman" w:hAnsi="Times New Roman" w:cs="Times New Roman"/>
          <w:sz w:val="24"/>
          <w:szCs w:val="24"/>
        </w:rPr>
        <w:t xml:space="preserve">, </w:t>
      </w:r>
      <w:r w:rsidR="008C6CB8">
        <w:rPr>
          <w:rFonts w:ascii="Times New Roman" w:eastAsia="Calibri" w:hAnsi="Times New Roman" w:cs="Times New Roman"/>
          <w:sz w:val="24"/>
          <w:szCs w:val="24"/>
          <w:lang w:eastAsia="lv-LV"/>
        </w:rPr>
        <w:t>un to sastādot ievēro, ka:</w:t>
      </w:r>
    </w:p>
    <w:p w14:paraId="2A9B731F" w14:textId="2B2AA4F7" w:rsidR="008C6CB8" w:rsidRDefault="00D77F5B" w:rsidP="008C6CB8">
      <w:pPr>
        <w:numPr>
          <w:ilvl w:val="3"/>
          <w:numId w:val="1"/>
        </w:numPr>
        <w:spacing w:after="120" w:line="240" w:lineRule="auto"/>
        <w:ind w:left="2694" w:right="-1" w:hanging="993"/>
        <w:jc w:val="both"/>
        <w:rPr>
          <w:rFonts w:ascii="Times New Roman" w:hAnsi="Times New Roman" w:cs="Times New Roman"/>
          <w:sz w:val="24"/>
          <w:szCs w:val="24"/>
        </w:rPr>
      </w:pPr>
      <w:r w:rsidRPr="00B31886">
        <w:rPr>
          <w:rFonts w:ascii="Times New Roman" w:hAnsi="Times New Roman" w:cs="Times New Roman"/>
          <w:sz w:val="24"/>
          <w:szCs w:val="24"/>
        </w:rPr>
        <w:t>uzrāda visus pārskata periodā atzītos ieņēmumus un izdevumus saskaņā ar uzkrāšanas principu un budžeta izpildes rezultātu</w:t>
      </w:r>
      <w:r w:rsidR="008C6CB8">
        <w:rPr>
          <w:rFonts w:ascii="Times New Roman" w:hAnsi="Times New Roman" w:cs="Times New Roman"/>
          <w:sz w:val="24"/>
          <w:szCs w:val="24"/>
        </w:rPr>
        <w:t>;</w:t>
      </w:r>
    </w:p>
    <w:p w14:paraId="7075B9C7" w14:textId="1E075061" w:rsidR="008C6CB8" w:rsidRDefault="00D77F5B" w:rsidP="008C6CB8">
      <w:pPr>
        <w:numPr>
          <w:ilvl w:val="3"/>
          <w:numId w:val="1"/>
        </w:numPr>
        <w:spacing w:after="120" w:line="240" w:lineRule="auto"/>
        <w:ind w:left="2694" w:right="-1" w:hanging="993"/>
        <w:jc w:val="both"/>
        <w:rPr>
          <w:rFonts w:ascii="Times New Roman" w:hAnsi="Times New Roman" w:cs="Times New Roman"/>
          <w:sz w:val="24"/>
          <w:szCs w:val="24"/>
        </w:rPr>
      </w:pPr>
      <w:r w:rsidRPr="00B31886">
        <w:rPr>
          <w:rFonts w:ascii="Times New Roman" w:hAnsi="Times New Roman" w:cs="Times New Roman"/>
          <w:sz w:val="24"/>
          <w:szCs w:val="24"/>
        </w:rPr>
        <w:t>norāda arī grāmatvedības aplēšu izmaiņu, darījumu klasifikācijas maiņas un iepriekšējo pārskata periodu kļūdu labojumu ietekmi</w:t>
      </w:r>
      <w:r w:rsidR="008C6CB8">
        <w:rPr>
          <w:rFonts w:ascii="Times New Roman" w:hAnsi="Times New Roman" w:cs="Times New Roman"/>
          <w:sz w:val="24"/>
          <w:szCs w:val="24"/>
        </w:rPr>
        <w:t>;</w:t>
      </w:r>
    </w:p>
    <w:p w14:paraId="1AE2D35B" w14:textId="02C53B15"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i</w:t>
      </w:r>
      <w:r w:rsidR="00D77F5B" w:rsidRPr="00B31886">
        <w:rPr>
          <w:rFonts w:ascii="Times New Roman" w:hAnsi="Times New Roman" w:cs="Times New Roman"/>
          <w:sz w:val="24"/>
          <w:szCs w:val="24"/>
        </w:rPr>
        <w:t>eņēmumus un izdevumus norāda pa ieņēmumu un izdevumu grupām, izņemot ieņēmumus un izdevumus, k</w:t>
      </w:r>
      <w:r>
        <w:rPr>
          <w:rFonts w:ascii="Times New Roman" w:hAnsi="Times New Roman" w:cs="Times New Roman"/>
          <w:sz w:val="24"/>
          <w:szCs w:val="24"/>
        </w:rPr>
        <w:t>o</w:t>
      </w:r>
      <w:r w:rsidR="00D77F5B" w:rsidRPr="00B31886">
        <w:rPr>
          <w:rFonts w:ascii="Times New Roman" w:hAnsi="Times New Roman" w:cs="Times New Roman"/>
          <w:sz w:val="24"/>
          <w:szCs w:val="24"/>
        </w:rPr>
        <w:t xml:space="preserve"> norāda atsevišķā pozīcijā, savstarpēji izslēdzot, un kas radušies sakarā ar: finanšu instrumentu patiesās vērtības izmaiņām, ārvalstu valūtas kursa svārstībām, atsavināšanu un izslēgšanu no uzskaites, kā arī sakarā ar pārdošanai pieejamu finanšu instrumentu pārklasifīkāciju uz citu finanšu instrumentu kategoriju; nefinanšu aktīvu atsavināšanu. Šādā gadījumā norāda neto vērtību - ieņēmumus (+) vai zaudējumus (-) no ilgtermiņa ieguldījumu objekta atsavināšanas, k</w:t>
      </w:r>
      <w:r>
        <w:rPr>
          <w:rFonts w:ascii="Times New Roman" w:hAnsi="Times New Roman" w:cs="Times New Roman"/>
          <w:sz w:val="24"/>
          <w:szCs w:val="24"/>
        </w:rPr>
        <w:t>o</w:t>
      </w:r>
      <w:r w:rsidR="00D77F5B" w:rsidRPr="00B31886">
        <w:rPr>
          <w:rFonts w:ascii="Times New Roman" w:hAnsi="Times New Roman" w:cs="Times New Roman"/>
          <w:sz w:val="24"/>
          <w:szCs w:val="24"/>
        </w:rPr>
        <w:t xml:space="preserve"> aprēķina kā starpību starp izslēgtā objekta bilances vērtību un tā atsavināšanas ieņēmumiem un izdevumiem. </w:t>
      </w:r>
    </w:p>
    <w:p w14:paraId="31744C4B" w14:textId="469AB95C"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i</w:t>
      </w:r>
      <w:r w:rsidR="00D77F5B" w:rsidRPr="00B31886">
        <w:rPr>
          <w:rFonts w:ascii="Times New Roman" w:hAnsi="Times New Roman" w:cs="Times New Roman"/>
          <w:sz w:val="24"/>
          <w:szCs w:val="24"/>
        </w:rPr>
        <w:t>eņēmumus (izņemot nodokļu ieņēmumus) un izdevumus</w:t>
      </w:r>
      <w:r w:rsidR="00F2486B" w:rsidRPr="00B31886">
        <w:rPr>
          <w:rFonts w:ascii="Times New Roman" w:hAnsi="Times New Roman" w:cs="Times New Roman"/>
          <w:sz w:val="24"/>
          <w:szCs w:val="24"/>
        </w:rPr>
        <w:t xml:space="preserve"> </w:t>
      </w:r>
      <w:r w:rsidR="00D77F5B" w:rsidRPr="00B31886">
        <w:rPr>
          <w:rFonts w:ascii="Times New Roman" w:hAnsi="Times New Roman" w:cs="Times New Roman"/>
          <w:sz w:val="24"/>
          <w:szCs w:val="24"/>
        </w:rPr>
        <w:t>(izņemot atalgojumu, darba devēja valsts sociālās apdrošināšanas obligātās iemaksas, pabalstus un kompensācijas, mācību, darba un dienesta komandējumu un dienesta, darba braucienu izdevumus, nodokļu, nodevu un naudas sodu maksājumus, nolietojuma un amortizācijas izmaksas) norāda sadalījumā pa institucionālo sektoru klasifikācijas kodiem atbilstoši normatīvajiem aktiem budžetu klasifikācijas jomā</w:t>
      </w:r>
      <w:r>
        <w:rPr>
          <w:rFonts w:ascii="Times New Roman" w:hAnsi="Times New Roman" w:cs="Times New Roman"/>
          <w:sz w:val="24"/>
          <w:szCs w:val="24"/>
        </w:rPr>
        <w:t>;</w:t>
      </w:r>
    </w:p>
    <w:p w14:paraId="3B472558" w14:textId="1B6D7857"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i</w:t>
      </w:r>
      <w:r w:rsidR="00D77F5B" w:rsidRPr="00B31886">
        <w:rPr>
          <w:rFonts w:ascii="Times New Roman" w:hAnsi="Times New Roman" w:cs="Times New Roman"/>
          <w:sz w:val="24"/>
          <w:szCs w:val="24"/>
        </w:rPr>
        <w:t xml:space="preserve">eņēmumus vai izdevumus no finanšu instrumentiem un ieņēmumus vai izdevumus no nefinanšu aktīvu atsavināšanas </w:t>
      </w:r>
      <w:r w:rsidR="00D77F5B" w:rsidRPr="00B31886">
        <w:rPr>
          <w:rFonts w:ascii="Times New Roman" w:hAnsi="Times New Roman" w:cs="Times New Roman"/>
          <w:sz w:val="24"/>
          <w:szCs w:val="24"/>
        </w:rPr>
        <w:lastRenderedPageBreak/>
        <w:t>norāda neto vērtībā un nenorāda sadalījumā pa institucionālajiem sektoriem</w:t>
      </w:r>
      <w:r>
        <w:rPr>
          <w:rFonts w:ascii="Times New Roman" w:hAnsi="Times New Roman" w:cs="Times New Roman"/>
          <w:sz w:val="24"/>
          <w:szCs w:val="24"/>
        </w:rPr>
        <w:t>;</w:t>
      </w:r>
    </w:p>
    <w:p w14:paraId="49D8CDFD" w14:textId="3D5C4D03" w:rsidR="008C6CB8" w:rsidRDefault="008C6CB8" w:rsidP="008C6CB8">
      <w:pPr>
        <w:numPr>
          <w:ilvl w:val="3"/>
          <w:numId w:val="1"/>
        </w:numPr>
        <w:spacing w:after="120" w:line="240" w:lineRule="auto"/>
        <w:ind w:left="2694" w:right="-1" w:hanging="993"/>
        <w:jc w:val="both"/>
        <w:rPr>
          <w:rFonts w:ascii="Times New Roman" w:hAnsi="Times New Roman" w:cs="Times New Roman"/>
          <w:sz w:val="24"/>
          <w:szCs w:val="24"/>
        </w:rPr>
      </w:pPr>
      <w:r>
        <w:rPr>
          <w:rFonts w:ascii="Times New Roman" w:hAnsi="Times New Roman" w:cs="Times New Roman"/>
          <w:sz w:val="24"/>
          <w:szCs w:val="24"/>
        </w:rPr>
        <w:t>p</w:t>
      </w:r>
      <w:r w:rsidR="00D77F5B" w:rsidRPr="00B31886">
        <w:rPr>
          <w:rFonts w:ascii="Times New Roman" w:hAnsi="Times New Roman" w:cs="Times New Roman"/>
          <w:sz w:val="24"/>
          <w:szCs w:val="24"/>
        </w:rPr>
        <w:t>ārskata periodā veiktos būtisku iepriekšējo pārskata periodu kļūdu labojumus norāda atsevišķā ailē tādā vērtībā, kāda attiecas uz iepriekšējo pārskata periodu. Ja kļūdu labojumi attiecas uz citiem periodiem pirms iepriekšējā pārskata perioda, tos šajā pārskatā nenorāda. Ja pārskata gadā mainīta darījumu klasifikācija, atsevišķā ailē norāda iepriekšējā pārskata perioda datu pārklasifikāciju atbilstoši pārskata gada klasifikācijai</w:t>
      </w:r>
      <w:r>
        <w:rPr>
          <w:rFonts w:ascii="Times New Roman" w:hAnsi="Times New Roman" w:cs="Times New Roman"/>
          <w:sz w:val="24"/>
          <w:szCs w:val="24"/>
        </w:rPr>
        <w:t>;</w:t>
      </w:r>
    </w:p>
    <w:p w14:paraId="4383AA2D" w14:textId="5F465E62" w:rsidR="008C6CB8" w:rsidRPr="00B31886" w:rsidRDefault="004B2D6F" w:rsidP="00B31886">
      <w:pPr>
        <w:pStyle w:val="Sarakstarindkopa"/>
        <w:numPr>
          <w:ilvl w:val="2"/>
          <w:numId w:val="1"/>
        </w:numPr>
        <w:spacing w:after="120" w:line="240" w:lineRule="auto"/>
        <w:ind w:left="1701" w:hanging="708"/>
        <w:contextualSpacing w:val="0"/>
        <w:jc w:val="both"/>
        <w:rPr>
          <w:rFonts w:ascii="Times New Roman" w:hAnsi="Times New Roman" w:cs="Times New Roman"/>
          <w:sz w:val="24"/>
          <w:szCs w:val="24"/>
        </w:rPr>
      </w:pPr>
      <w:bookmarkStart w:id="2" w:name="bookmark9"/>
      <w:r w:rsidRPr="00B31886">
        <w:rPr>
          <w:rFonts w:ascii="Times New Roman" w:hAnsi="Times New Roman" w:cs="Times New Roman"/>
          <w:sz w:val="24"/>
          <w:szCs w:val="24"/>
          <w:u w:val="single"/>
        </w:rPr>
        <w:t>pašu kapitāla (neto aktīva) izmaiņu pārskat</w:t>
      </w:r>
      <w:r w:rsidR="008C6CB8" w:rsidRPr="00B31886">
        <w:rPr>
          <w:rFonts w:ascii="Times New Roman" w:hAnsi="Times New Roman" w:cs="Times New Roman"/>
          <w:sz w:val="24"/>
          <w:szCs w:val="24"/>
          <w:u w:val="single"/>
        </w:rPr>
        <w:t>s</w:t>
      </w:r>
      <w:r w:rsidRPr="00B31886">
        <w:rPr>
          <w:rFonts w:ascii="Times New Roman" w:hAnsi="Times New Roman" w:cs="Times New Roman"/>
          <w:sz w:val="24"/>
          <w:szCs w:val="24"/>
        </w:rPr>
        <w:t xml:space="preserve"> </w:t>
      </w:r>
      <w:r w:rsidR="008C6CB8">
        <w:rPr>
          <w:rFonts w:ascii="Times New Roman" w:hAnsi="Times New Roman" w:cs="Times New Roman"/>
          <w:sz w:val="24"/>
          <w:szCs w:val="24"/>
        </w:rPr>
        <w:t>(</w:t>
      </w:r>
      <w:r w:rsidRPr="00B31886">
        <w:rPr>
          <w:rFonts w:ascii="Times New Roman" w:hAnsi="Times New Roman" w:cs="Times New Roman"/>
          <w:sz w:val="24"/>
          <w:szCs w:val="24"/>
        </w:rPr>
        <w:t>veidlapa Nr.</w:t>
      </w:r>
      <w:r w:rsidR="008C6CB8">
        <w:rPr>
          <w:rFonts w:ascii="Times New Roman" w:hAnsi="Times New Roman" w:cs="Times New Roman"/>
          <w:sz w:val="24"/>
          <w:szCs w:val="24"/>
        </w:rPr>
        <w:t xml:space="preserve"> </w:t>
      </w:r>
      <w:r w:rsidRPr="00B31886">
        <w:rPr>
          <w:rFonts w:ascii="Times New Roman" w:hAnsi="Times New Roman" w:cs="Times New Roman"/>
          <w:sz w:val="24"/>
          <w:szCs w:val="24"/>
        </w:rPr>
        <w:t>PK</w:t>
      </w:r>
      <w:bookmarkEnd w:id="2"/>
      <w:r w:rsidR="008C6CB8">
        <w:rPr>
          <w:rFonts w:ascii="Times New Roman" w:hAnsi="Times New Roman" w:cs="Times New Roman"/>
          <w:sz w:val="24"/>
          <w:szCs w:val="24"/>
        </w:rPr>
        <w:t xml:space="preserve">), </w:t>
      </w:r>
      <w:r w:rsidR="008C6CB8">
        <w:rPr>
          <w:rFonts w:ascii="Times New Roman" w:eastAsia="Calibri" w:hAnsi="Times New Roman" w:cs="Times New Roman"/>
          <w:sz w:val="24"/>
          <w:szCs w:val="24"/>
          <w:lang w:eastAsia="lv-LV"/>
        </w:rPr>
        <w:t>un to sastādot ievēro, ka:</w:t>
      </w:r>
    </w:p>
    <w:p w14:paraId="53CF0534" w14:textId="728CA082" w:rsidR="008C6CB8" w:rsidRDefault="004B2D6F" w:rsidP="008C6CB8">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sidRPr="00B31886">
        <w:rPr>
          <w:rFonts w:ascii="Times New Roman" w:hAnsi="Times New Roman" w:cs="Times New Roman"/>
          <w:sz w:val="24"/>
          <w:szCs w:val="24"/>
        </w:rPr>
        <w:t xml:space="preserve">pārskats sniedz informāciju par </w:t>
      </w:r>
      <w:r w:rsidR="00FE389A" w:rsidRPr="00B31886">
        <w:rPr>
          <w:rFonts w:ascii="Times New Roman" w:hAnsi="Times New Roman" w:cs="Times New Roman"/>
          <w:sz w:val="24"/>
          <w:szCs w:val="24"/>
        </w:rPr>
        <w:t xml:space="preserve">iestādes </w:t>
      </w:r>
      <w:r w:rsidRPr="00B31886">
        <w:rPr>
          <w:rFonts w:ascii="Times New Roman" w:hAnsi="Times New Roman" w:cs="Times New Roman"/>
          <w:sz w:val="24"/>
          <w:szCs w:val="24"/>
        </w:rPr>
        <w:t>neto aktīvu pieaugumu vai samazinājumu pārskata periodā un iepriekšējā pārskata periodā</w:t>
      </w:r>
      <w:r w:rsidR="008C6CB8">
        <w:rPr>
          <w:rFonts w:ascii="Times New Roman" w:hAnsi="Times New Roman" w:cs="Times New Roman"/>
          <w:sz w:val="24"/>
          <w:szCs w:val="24"/>
        </w:rPr>
        <w:t>;</w:t>
      </w:r>
    </w:p>
    <w:p w14:paraId="3751EADC" w14:textId="678B012D" w:rsidR="008C6CB8" w:rsidRDefault="008C6CB8" w:rsidP="008C6CB8">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n</w:t>
      </w:r>
      <w:r w:rsidR="004B2D6F" w:rsidRPr="00B31886">
        <w:rPr>
          <w:rFonts w:ascii="Times New Roman" w:hAnsi="Times New Roman" w:cs="Times New Roman"/>
          <w:sz w:val="24"/>
          <w:szCs w:val="24"/>
        </w:rPr>
        <w:t>eto aktīvi ir starpība starp kopējiem aktīviem un kopējām saistībām un uzkrājumiem</w:t>
      </w:r>
      <w:r>
        <w:rPr>
          <w:rFonts w:ascii="Times New Roman" w:hAnsi="Times New Roman" w:cs="Times New Roman"/>
          <w:sz w:val="24"/>
          <w:szCs w:val="24"/>
        </w:rPr>
        <w:t>;</w:t>
      </w:r>
    </w:p>
    <w:p w14:paraId="47E8E7DF" w14:textId="074C4577" w:rsidR="008C6CB8" w:rsidRDefault="008C6CB8" w:rsidP="008C6CB8">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p</w:t>
      </w:r>
      <w:r w:rsidR="004B2D6F" w:rsidRPr="00B31886">
        <w:rPr>
          <w:rFonts w:ascii="Times New Roman" w:hAnsi="Times New Roman" w:cs="Times New Roman"/>
          <w:sz w:val="24"/>
          <w:szCs w:val="24"/>
        </w:rPr>
        <w:t>ašu kapitāls var būt gan pozitīvs, gan negatīvs</w:t>
      </w:r>
      <w:r>
        <w:rPr>
          <w:rFonts w:ascii="Times New Roman" w:hAnsi="Times New Roman" w:cs="Times New Roman"/>
          <w:sz w:val="24"/>
          <w:szCs w:val="24"/>
        </w:rPr>
        <w:t>;</w:t>
      </w:r>
      <w:r w:rsidR="004B2D6F" w:rsidRPr="00B31886">
        <w:rPr>
          <w:rFonts w:ascii="Times New Roman" w:hAnsi="Times New Roman" w:cs="Times New Roman"/>
          <w:sz w:val="24"/>
          <w:szCs w:val="24"/>
        </w:rPr>
        <w:t xml:space="preserve"> </w:t>
      </w:r>
    </w:p>
    <w:p w14:paraId="69E374DE" w14:textId="141187A7" w:rsidR="008C6CB8" w:rsidRDefault="008C6CB8" w:rsidP="008C6CB8">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d</w:t>
      </w:r>
      <w:r w:rsidR="005C4FCF" w:rsidRPr="00B31886">
        <w:rPr>
          <w:rFonts w:ascii="Times New Roman" w:hAnsi="Times New Roman" w:cs="Times New Roman"/>
          <w:sz w:val="24"/>
          <w:szCs w:val="24"/>
        </w:rPr>
        <w:t>atus norāda atbilstoši normatīvajos aktos budžeta iestāžu grāmatvedības jomā noteiktā kontu plāna 3000 kontu grupas līmenim, detalizējot datus līdz konta numuram</w:t>
      </w:r>
      <w:r>
        <w:rPr>
          <w:rFonts w:ascii="Times New Roman" w:hAnsi="Times New Roman" w:cs="Times New Roman"/>
          <w:sz w:val="24"/>
          <w:szCs w:val="24"/>
        </w:rPr>
        <w:t>;</w:t>
      </w:r>
    </w:p>
    <w:p w14:paraId="23405A30" w14:textId="7CE22D55" w:rsidR="008C6CB8" w:rsidRDefault="004E29E3" w:rsidP="008C6CB8">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sidRPr="00B31886">
        <w:rPr>
          <w:rFonts w:ascii="Times New Roman" w:hAnsi="Times New Roman" w:cs="Times New Roman"/>
          <w:sz w:val="24"/>
          <w:szCs w:val="24"/>
        </w:rPr>
        <w:t xml:space="preserve">norāda pārskata periodā veiktos būtisku iepriekšējo pārskata periodu kļūdu labojumus tādā vērtībā, kāda attiecas uz iepriekšējo pārskata periodu un uz citiem periodiem pirms iepriekšējā pārskata perioda; </w:t>
      </w:r>
    </w:p>
    <w:p w14:paraId="3C718713" w14:textId="77777777" w:rsidR="008C6CB8" w:rsidRDefault="008C6CB8" w:rsidP="008C6CB8">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norāda </w:t>
      </w:r>
      <w:r w:rsidR="004E29E3" w:rsidRPr="00B31886">
        <w:rPr>
          <w:rFonts w:ascii="Times New Roman" w:hAnsi="Times New Roman" w:cs="Times New Roman"/>
          <w:sz w:val="24"/>
          <w:szCs w:val="24"/>
        </w:rPr>
        <w:t>pārskata periodā reorganizējot vai likvidējot iestādi, budžeta izpildes rezultāta izmaiņas (nodošanu vai pieņemšanu)</w:t>
      </w:r>
      <w:r w:rsidR="00AF1719" w:rsidRPr="00B31886">
        <w:rPr>
          <w:rFonts w:ascii="Times New Roman" w:hAnsi="Times New Roman" w:cs="Times New Roman"/>
          <w:sz w:val="24"/>
          <w:szCs w:val="24"/>
        </w:rPr>
        <w:t>;</w:t>
      </w:r>
      <w:r w:rsidR="004E29E3" w:rsidRPr="00B31886">
        <w:rPr>
          <w:rFonts w:ascii="Times New Roman" w:hAnsi="Times New Roman" w:cs="Times New Roman"/>
          <w:sz w:val="24"/>
          <w:szCs w:val="24"/>
        </w:rPr>
        <w:t xml:space="preserve"> </w:t>
      </w:r>
    </w:p>
    <w:p w14:paraId="1726E673" w14:textId="0BF22346" w:rsidR="008C6CB8" w:rsidRPr="00B31886" w:rsidRDefault="008C6CB8" w:rsidP="00B31886">
      <w:pPr>
        <w:pStyle w:val="Sarakstarindkopa"/>
        <w:numPr>
          <w:ilvl w:val="3"/>
          <w:numId w:val="1"/>
        </w:numPr>
        <w:spacing w:after="120" w:line="240" w:lineRule="auto"/>
        <w:ind w:left="2694" w:hanging="819"/>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norāda </w:t>
      </w:r>
      <w:r w:rsidR="004E29E3" w:rsidRPr="00B31886">
        <w:rPr>
          <w:rFonts w:ascii="Times New Roman" w:hAnsi="Times New Roman" w:cs="Times New Roman"/>
          <w:sz w:val="24"/>
          <w:szCs w:val="24"/>
        </w:rPr>
        <w:t>pārvietošanu starp 3000 kontu grupas līmeņiem</w:t>
      </w:r>
      <w:r w:rsidR="00AF1719" w:rsidRPr="00B31886">
        <w:rPr>
          <w:rFonts w:ascii="Times New Roman" w:hAnsi="Times New Roman" w:cs="Times New Roman"/>
          <w:sz w:val="24"/>
          <w:szCs w:val="24"/>
        </w:rPr>
        <w:t>.</w:t>
      </w:r>
      <w:bookmarkStart w:id="3" w:name="bookmark10"/>
    </w:p>
    <w:p w14:paraId="6FBF234D" w14:textId="772708F8" w:rsidR="008C6CB8" w:rsidRPr="00B31886" w:rsidRDefault="00AF1719" w:rsidP="008C6CB8">
      <w:pPr>
        <w:pStyle w:val="Sarakstarindkopa"/>
        <w:numPr>
          <w:ilvl w:val="2"/>
          <w:numId w:val="1"/>
        </w:numPr>
        <w:spacing w:after="120" w:line="240" w:lineRule="auto"/>
        <w:ind w:left="1843" w:hanging="850"/>
        <w:contextualSpacing w:val="0"/>
        <w:jc w:val="both"/>
        <w:rPr>
          <w:rFonts w:ascii="Times New Roman" w:hAnsi="Times New Roman" w:cs="Times New Roman"/>
          <w:sz w:val="24"/>
          <w:szCs w:val="24"/>
        </w:rPr>
      </w:pPr>
      <w:r w:rsidRPr="00B31886">
        <w:rPr>
          <w:rFonts w:ascii="Times New Roman" w:hAnsi="Times New Roman" w:cs="Times New Roman"/>
          <w:sz w:val="24"/>
          <w:szCs w:val="24"/>
          <w:u w:val="single"/>
        </w:rPr>
        <w:t>naudas plūsmas pārskat</w:t>
      </w:r>
      <w:r w:rsidR="008C6CB8" w:rsidRPr="00B31886">
        <w:rPr>
          <w:rFonts w:ascii="Times New Roman" w:hAnsi="Times New Roman" w:cs="Times New Roman"/>
          <w:sz w:val="24"/>
          <w:szCs w:val="24"/>
          <w:u w:val="single"/>
        </w:rPr>
        <w:t>s</w:t>
      </w:r>
      <w:r w:rsidRPr="00B31886">
        <w:rPr>
          <w:rFonts w:ascii="Times New Roman" w:hAnsi="Times New Roman" w:cs="Times New Roman"/>
          <w:sz w:val="24"/>
          <w:szCs w:val="24"/>
        </w:rPr>
        <w:t xml:space="preserve"> </w:t>
      </w:r>
      <w:r w:rsidR="008C6CB8">
        <w:rPr>
          <w:rFonts w:ascii="Times New Roman" w:hAnsi="Times New Roman" w:cs="Times New Roman"/>
          <w:sz w:val="24"/>
          <w:szCs w:val="24"/>
        </w:rPr>
        <w:t>(</w:t>
      </w:r>
      <w:r w:rsidRPr="00B31886">
        <w:rPr>
          <w:rFonts w:ascii="Times New Roman" w:hAnsi="Times New Roman" w:cs="Times New Roman"/>
          <w:sz w:val="24"/>
          <w:szCs w:val="24"/>
        </w:rPr>
        <w:t>veidlapa Nr. NP</w:t>
      </w:r>
      <w:bookmarkEnd w:id="3"/>
      <w:r w:rsidR="008C6CB8">
        <w:rPr>
          <w:rFonts w:ascii="Times New Roman" w:hAnsi="Times New Roman" w:cs="Times New Roman"/>
          <w:sz w:val="24"/>
          <w:szCs w:val="24"/>
        </w:rPr>
        <w:t xml:space="preserve">), </w:t>
      </w:r>
      <w:r w:rsidR="008C6CB8" w:rsidRPr="008C6CB8">
        <w:rPr>
          <w:rFonts w:ascii="Times New Roman" w:hAnsi="Times New Roman" w:cs="Times New Roman"/>
          <w:sz w:val="24"/>
          <w:szCs w:val="24"/>
        </w:rPr>
        <w:t>un to sastādot ievēro, ka:</w:t>
      </w:r>
    </w:p>
    <w:p w14:paraId="13CCA29E" w14:textId="2F900E67" w:rsidR="008C6CB8" w:rsidRDefault="00E46B8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B31886">
        <w:rPr>
          <w:rFonts w:ascii="Times New Roman" w:hAnsi="Times New Roman" w:cs="Times New Roman"/>
          <w:sz w:val="24"/>
          <w:szCs w:val="24"/>
        </w:rPr>
        <w:t>pārskats sniedz informāciju par ienākošo naudas plūsmu avotiem, par posteņiem, kuros pārskata periodā izmaksāti naudas līdzekļi, un par naudas atlikumu pārskata datumā</w:t>
      </w:r>
      <w:r w:rsidR="008C6CB8">
        <w:rPr>
          <w:rFonts w:ascii="Times New Roman" w:hAnsi="Times New Roman" w:cs="Times New Roman"/>
          <w:sz w:val="24"/>
          <w:szCs w:val="24"/>
        </w:rPr>
        <w:t>;</w:t>
      </w:r>
    </w:p>
    <w:p w14:paraId="520DE12B" w14:textId="40AFF599" w:rsidR="008C6CB8" w:rsidRDefault="00A366E9"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B31886">
        <w:rPr>
          <w:rFonts w:ascii="Times New Roman" w:hAnsi="Times New Roman" w:cs="Times New Roman"/>
          <w:sz w:val="24"/>
          <w:szCs w:val="24"/>
        </w:rPr>
        <w:t>pārskatā norāda saņemtās un izmaksātās naudas summas atbilstoši normatīvajos aktos budžetu klasifikācijas jomā noteiktajām ieņēmumu un izdevumu grupām un apakšgrupām, izņemot ieņēmumus un izdevumus, k</w:t>
      </w:r>
      <w:r w:rsidR="008C6CB8">
        <w:rPr>
          <w:rFonts w:ascii="Times New Roman" w:hAnsi="Times New Roman" w:cs="Times New Roman"/>
          <w:sz w:val="24"/>
          <w:szCs w:val="24"/>
        </w:rPr>
        <w:t>o</w:t>
      </w:r>
      <w:r w:rsidRPr="00B31886">
        <w:rPr>
          <w:rFonts w:ascii="Times New Roman" w:hAnsi="Times New Roman" w:cs="Times New Roman"/>
          <w:sz w:val="24"/>
          <w:szCs w:val="24"/>
        </w:rPr>
        <w:t xml:space="preserve"> norāda atsevišķā pozīcijā</w:t>
      </w:r>
      <w:r w:rsidR="008C6CB8">
        <w:rPr>
          <w:rFonts w:ascii="Times New Roman" w:hAnsi="Times New Roman" w:cs="Times New Roman"/>
          <w:sz w:val="24"/>
          <w:szCs w:val="24"/>
        </w:rPr>
        <w:t>;</w:t>
      </w:r>
    </w:p>
    <w:p w14:paraId="20F29EB1" w14:textId="396DCC8B"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o nenodokļu ieņēmumiem nodala procentu ieņēmumus un norāda atsevišķā postenī</w:t>
      </w:r>
      <w:r>
        <w:rPr>
          <w:rFonts w:ascii="Times New Roman" w:hAnsi="Times New Roman" w:cs="Times New Roman"/>
          <w:sz w:val="24"/>
          <w:szCs w:val="24"/>
        </w:rPr>
        <w:t>;</w:t>
      </w:r>
    </w:p>
    <w:p w14:paraId="30033900" w14:textId="4FB365A8"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audas plūsmu klasificē atbilstoši iestādes pamatdarbībai, ieguldījumu darbībai un finansēšanas darbībai</w:t>
      </w:r>
      <w:r>
        <w:rPr>
          <w:rFonts w:ascii="Times New Roman" w:hAnsi="Times New Roman" w:cs="Times New Roman"/>
          <w:sz w:val="24"/>
          <w:szCs w:val="24"/>
        </w:rPr>
        <w:t>;</w:t>
      </w:r>
    </w:p>
    <w:p w14:paraId="3146517F" w14:textId="304FC0DD"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audas līdzekļu un naudas ekvivalentu savstarpējās izmaiņas nav uzskatāmas par naudas plūsmu, jo tās attiecas uz naudas pārvaldīšanu, nevis uz pamatdarbību, ieguldījumu un finansēšanas darbību</w:t>
      </w:r>
      <w:r>
        <w:rPr>
          <w:rFonts w:ascii="Times New Roman" w:hAnsi="Times New Roman" w:cs="Times New Roman"/>
          <w:sz w:val="24"/>
          <w:szCs w:val="24"/>
        </w:rPr>
        <w:t>;</w:t>
      </w:r>
    </w:p>
    <w:p w14:paraId="37B78692" w14:textId="7EA6A829"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873953" w:rsidRPr="00B31886">
        <w:rPr>
          <w:rFonts w:ascii="Times New Roman" w:hAnsi="Times New Roman" w:cs="Times New Roman"/>
          <w:sz w:val="24"/>
          <w:szCs w:val="24"/>
        </w:rPr>
        <w:t>audas pārvaldīšana ietver brīvo naudas līdzekļu ieguldījumu naudas ekvivalentos</w:t>
      </w:r>
      <w:r>
        <w:rPr>
          <w:rFonts w:ascii="Times New Roman" w:hAnsi="Times New Roman" w:cs="Times New Roman"/>
          <w:sz w:val="24"/>
          <w:szCs w:val="24"/>
        </w:rPr>
        <w:t>;</w:t>
      </w:r>
    </w:p>
    <w:p w14:paraId="6EA0212C" w14:textId="5A8E30D8"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w:t>
      </w:r>
      <w:r w:rsidR="00873953" w:rsidRPr="00B31886">
        <w:rPr>
          <w:rFonts w:ascii="Times New Roman" w:hAnsi="Times New Roman" w:cs="Times New Roman"/>
          <w:sz w:val="24"/>
          <w:szCs w:val="24"/>
        </w:rPr>
        <w:t>amatdarbības naudas plūsma parāda iestādes spēju turpināt savu darbību, atmaksāt savas saistības un veikt jaunus ieguldījumus, neizmantojot ārējus finansējuma avotus. Pamatdarbības naudas plūsmā neietver naudas plūsmas, kas attiecināmas uz ieguldījumu darbību vai finansēšanas darbību</w:t>
      </w:r>
      <w:r>
        <w:rPr>
          <w:rFonts w:ascii="Times New Roman" w:hAnsi="Times New Roman" w:cs="Times New Roman"/>
          <w:sz w:val="24"/>
          <w:szCs w:val="24"/>
        </w:rPr>
        <w:t>;</w:t>
      </w:r>
    </w:p>
    <w:p w14:paraId="01C7A05D" w14:textId="18F8B91F"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i</w:t>
      </w:r>
      <w:r w:rsidR="00AB6FEE" w:rsidRPr="00B31886">
        <w:rPr>
          <w:rFonts w:ascii="Times New Roman" w:hAnsi="Times New Roman" w:cs="Times New Roman"/>
          <w:sz w:val="24"/>
          <w:szCs w:val="24"/>
        </w:rPr>
        <w:t>eguldījumu darbības naudas plūsma parāda, cik lieli maksājumi radušies, lai iegūtu resursus, k</w:t>
      </w:r>
      <w:r>
        <w:rPr>
          <w:rFonts w:ascii="Times New Roman" w:hAnsi="Times New Roman" w:cs="Times New Roman"/>
          <w:sz w:val="24"/>
          <w:szCs w:val="24"/>
        </w:rPr>
        <w:t>o</w:t>
      </w:r>
      <w:r w:rsidR="00AB6FEE" w:rsidRPr="00B31886">
        <w:rPr>
          <w:rFonts w:ascii="Times New Roman" w:hAnsi="Times New Roman" w:cs="Times New Roman"/>
          <w:sz w:val="24"/>
          <w:szCs w:val="24"/>
        </w:rPr>
        <w:t xml:space="preserve"> iestāde paredzējusi izmantot funkciju nodrošināšanai. Par ieguldījumu darbību klasificē tikai tādus darījumus, kuru rezultātā pārskatā par iestādes finansiālo stāvokli (bilancē) tiek atzīti</w:t>
      </w:r>
      <w:r w:rsidR="002A4955" w:rsidRPr="00B31886">
        <w:rPr>
          <w:rFonts w:ascii="Times New Roman" w:hAnsi="Times New Roman" w:cs="Times New Roman"/>
          <w:sz w:val="24"/>
          <w:szCs w:val="24"/>
        </w:rPr>
        <w:t>,</w:t>
      </w:r>
      <w:r w:rsidR="00AB6FEE" w:rsidRPr="00B31886">
        <w:rPr>
          <w:rFonts w:ascii="Times New Roman" w:hAnsi="Times New Roman" w:cs="Times New Roman"/>
          <w:sz w:val="24"/>
          <w:szCs w:val="24"/>
        </w:rPr>
        <w:t xml:space="preserve"> vai izslēgti ilgtermiņa aktīvi (izņemot ieguldījuma īpašumus), kā arī īstermiņa finanšu ieguldījumi</w:t>
      </w:r>
      <w:r>
        <w:rPr>
          <w:rFonts w:ascii="Times New Roman" w:hAnsi="Times New Roman" w:cs="Times New Roman"/>
          <w:sz w:val="24"/>
          <w:szCs w:val="24"/>
        </w:rPr>
        <w:t>;</w:t>
      </w:r>
    </w:p>
    <w:p w14:paraId="6E4FC269" w14:textId="46B1F9D7"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AB6FEE" w:rsidRPr="00B31886">
        <w:rPr>
          <w:rFonts w:ascii="Times New Roman" w:hAnsi="Times New Roman" w:cs="Times New Roman"/>
          <w:sz w:val="24"/>
          <w:szCs w:val="24"/>
        </w:rPr>
        <w:t>ar finansēšanas darbību uzskata darbību, kas rada izmaiņas aizņēmumu apmērā un sastāvā, kā arī darījumus ar atvasinātiem finanšu instrumentiem, ja tie piesaistīti finansēšanas darbībā iekļautajiem finanšu instrumentiem, un finanšu nomas līguma ietvaros veiktos maksājumus</w:t>
      </w:r>
      <w:r>
        <w:rPr>
          <w:rFonts w:ascii="Times New Roman" w:hAnsi="Times New Roman" w:cs="Times New Roman"/>
          <w:sz w:val="24"/>
          <w:szCs w:val="24"/>
        </w:rPr>
        <w:t>;</w:t>
      </w:r>
    </w:p>
    <w:p w14:paraId="0D35D548" w14:textId="59291DC4"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n</w:t>
      </w:r>
      <w:r w:rsidR="00AB6FEE" w:rsidRPr="00B31886">
        <w:rPr>
          <w:rFonts w:ascii="Times New Roman" w:hAnsi="Times New Roman" w:cs="Times New Roman"/>
          <w:sz w:val="24"/>
          <w:szCs w:val="24"/>
        </w:rPr>
        <w:t>audas plūsmā no piesaistītajiem līdzekļiem norāda valsts budžeta finanšu uzskaites nodrošināšanai piesaistītos līdzekļus</w:t>
      </w:r>
      <w:r>
        <w:rPr>
          <w:rFonts w:ascii="Times New Roman" w:hAnsi="Times New Roman" w:cs="Times New Roman"/>
          <w:sz w:val="24"/>
          <w:szCs w:val="24"/>
        </w:rPr>
        <w:t>;</w:t>
      </w:r>
    </w:p>
    <w:p w14:paraId="112F0777" w14:textId="1967C7F7" w:rsidR="008C6CB8"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i</w:t>
      </w:r>
      <w:r w:rsidR="00AB6FEE" w:rsidRPr="00B31886">
        <w:rPr>
          <w:rFonts w:ascii="Times New Roman" w:hAnsi="Times New Roman" w:cs="Times New Roman"/>
          <w:sz w:val="24"/>
          <w:szCs w:val="24"/>
        </w:rPr>
        <w:t>eņēmumus (izņemot nodokļu ieņēmumus), izdevumus (izņemot atalgojumu, darba devēja valsts sociālās apdrošināšanas obligātās iemaksas, pabalstus un kompensācijas, mācību, darba un dienesta komandējumu un dienesta, darba braucienu izdevumus, nodokļu, nodevu un naudas sodu maksājumus) un piesaistītos līdzekļus pārskatā norāda sadalījumā pa šādiem institucionālo sektoru klasifikācijas kodiem atbilstoši normatīvajiem aktiem budžetu klasifikācijas jomā</w:t>
      </w:r>
      <w:r>
        <w:rPr>
          <w:rFonts w:ascii="Times New Roman" w:hAnsi="Times New Roman" w:cs="Times New Roman"/>
          <w:sz w:val="24"/>
          <w:szCs w:val="24"/>
        </w:rPr>
        <w:t>;</w:t>
      </w:r>
    </w:p>
    <w:p w14:paraId="63597385" w14:textId="3D6F0774" w:rsidR="0098521B" w:rsidRDefault="008C6CB8"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l</w:t>
      </w:r>
      <w:r w:rsidR="00AB6FEE" w:rsidRPr="00B31886">
        <w:rPr>
          <w:rFonts w:ascii="Times New Roman" w:hAnsi="Times New Roman" w:cs="Times New Roman"/>
          <w:sz w:val="24"/>
          <w:szCs w:val="24"/>
        </w:rPr>
        <w:t>ai salīdzinātu naudas līdzekļu atlikumus pārskata perioda sākumā un beigās, valūtas kursu svārstību ietekmi uz veikto vai saņemto maksājumu summu norāda atsevišķi no pamatdarbības, ieguldījumu darbības un finansēšanas darbības naudas plūsmas</w:t>
      </w:r>
      <w:r w:rsidR="0098521B">
        <w:rPr>
          <w:rFonts w:ascii="Times New Roman" w:hAnsi="Times New Roman" w:cs="Times New Roman"/>
          <w:sz w:val="24"/>
          <w:szCs w:val="24"/>
        </w:rPr>
        <w:t>;</w:t>
      </w:r>
    </w:p>
    <w:p w14:paraId="6B7AE454" w14:textId="5C6A5DD5" w:rsidR="0098521B" w:rsidRDefault="0098521B"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2A4955" w:rsidRPr="00B31886">
        <w:rPr>
          <w:rFonts w:ascii="Times New Roman" w:hAnsi="Times New Roman" w:cs="Times New Roman"/>
          <w:sz w:val="24"/>
          <w:szCs w:val="24"/>
        </w:rPr>
        <w:t>rocentu ieņēmumus vai izdevumus, kā arī citus maksājumus par kapitāla izmantošanu izvērtē pēc ekonomiskās būtības un atbilstoši izvērtējumam</w:t>
      </w:r>
      <w:r>
        <w:rPr>
          <w:rFonts w:ascii="Times New Roman" w:hAnsi="Times New Roman" w:cs="Times New Roman"/>
          <w:sz w:val="24"/>
          <w:szCs w:val="24"/>
        </w:rPr>
        <w:t>;</w:t>
      </w:r>
    </w:p>
    <w:p w14:paraId="5FD520CA" w14:textId="1AF352CD" w:rsidR="0098521B" w:rsidRDefault="0098521B"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2A4955" w:rsidRPr="00B31886">
        <w:rPr>
          <w:rFonts w:ascii="Times New Roman" w:hAnsi="Times New Roman" w:cs="Times New Roman"/>
          <w:sz w:val="24"/>
          <w:szCs w:val="24"/>
        </w:rPr>
        <w:t>ārskatā norāda tās piezīmes numuru, kurā sniegts naudas plūsmas pārskata posteņu skaidrojums. Ja finanšu pārskata posteņu skaidrojums aptver vairāku pārskatu posteņus, pārskatā norāda visaptverošās piezīmes numuru</w:t>
      </w:r>
      <w:r>
        <w:rPr>
          <w:rFonts w:ascii="Times New Roman" w:hAnsi="Times New Roman" w:cs="Times New Roman"/>
          <w:sz w:val="24"/>
          <w:szCs w:val="24"/>
        </w:rPr>
        <w:t>;</w:t>
      </w:r>
    </w:p>
    <w:p w14:paraId="13EA6C1D" w14:textId="03BC379A" w:rsidR="0098521B" w:rsidRDefault="0098521B"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p</w:t>
      </w:r>
      <w:r w:rsidR="002A4955" w:rsidRPr="00B31886">
        <w:rPr>
          <w:rFonts w:ascii="Times New Roman" w:hAnsi="Times New Roman" w:cs="Times New Roman"/>
          <w:sz w:val="24"/>
          <w:szCs w:val="24"/>
        </w:rPr>
        <w:t>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w:t>
      </w:r>
      <w:r>
        <w:rPr>
          <w:rFonts w:ascii="Times New Roman" w:hAnsi="Times New Roman" w:cs="Times New Roman"/>
          <w:sz w:val="24"/>
          <w:szCs w:val="24"/>
        </w:rPr>
        <w:t>;</w:t>
      </w:r>
    </w:p>
    <w:p w14:paraId="40FD09FE" w14:textId="7863A133" w:rsidR="0098521B" w:rsidRDefault="0098521B" w:rsidP="008C6CB8">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002A4955" w:rsidRPr="00B31886">
        <w:rPr>
          <w:rFonts w:ascii="Times New Roman" w:hAnsi="Times New Roman" w:cs="Times New Roman"/>
          <w:sz w:val="24"/>
          <w:szCs w:val="24"/>
        </w:rPr>
        <w:t>a pārskata gadā mainīta darījumu klasifikācija, atsevišķā ailē norāda iepriekšējā pārskata perioda datu pārklasifikāciju atbilstoši pārskata gada klasifikācijai. Iepriekšējā perioda dati atšķiras no budžeta izpildes pārskatā norādītajiem datiem, ja ir konstatētas kļūdas, kas attiecas uz iepriekšējo pārskata periodu, vai pārskata periodā ir mainīta darījumu klasifikācija un norādīšanas kārtība</w:t>
      </w:r>
      <w:r>
        <w:rPr>
          <w:rFonts w:ascii="Times New Roman" w:hAnsi="Times New Roman" w:cs="Times New Roman"/>
          <w:sz w:val="24"/>
          <w:szCs w:val="24"/>
        </w:rPr>
        <w:t>;</w:t>
      </w:r>
    </w:p>
    <w:p w14:paraId="42DEC029" w14:textId="6C2B8CBC" w:rsidR="0098521B" w:rsidRDefault="0098521B" w:rsidP="0098521B">
      <w:pPr>
        <w:pStyle w:val="Sarakstarindkopa"/>
        <w:numPr>
          <w:ilvl w:val="2"/>
          <w:numId w:val="1"/>
        </w:numPr>
        <w:spacing w:after="120" w:line="240" w:lineRule="auto"/>
        <w:ind w:left="1843" w:hanging="850"/>
        <w:contextualSpacing w:val="0"/>
        <w:jc w:val="both"/>
        <w:rPr>
          <w:rFonts w:ascii="Times New Roman" w:hAnsi="Times New Roman" w:cs="Times New Roman"/>
          <w:sz w:val="24"/>
          <w:szCs w:val="24"/>
        </w:rPr>
      </w:pPr>
      <w:r w:rsidRPr="00B31886">
        <w:rPr>
          <w:rFonts w:ascii="Times New Roman" w:hAnsi="Times New Roman" w:cs="Times New Roman"/>
          <w:sz w:val="24"/>
          <w:szCs w:val="24"/>
          <w:u w:val="single"/>
        </w:rPr>
        <w:t>notikumi pēc bilances datuma</w:t>
      </w:r>
      <w:r>
        <w:rPr>
          <w:rFonts w:ascii="Times New Roman" w:hAnsi="Times New Roman" w:cs="Times New Roman"/>
          <w:sz w:val="24"/>
          <w:szCs w:val="24"/>
        </w:rPr>
        <w:t xml:space="preserve">, </w:t>
      </w:r>
      <w:r w:rsidRPr="0098521B">
        <w:rPr>
          <w:rFonts w:ascii="Times New Roman" w:hAnsi="Times New Roman" w:cs="Times New Roman"/>
          <w:sz w:val="24"/>
          <w:szCs w:val="24"/>
        </w:rPr>
        <w:t>un to sastādot ievēro, ka:</w:t>
      </w:r>
    </w:p>
    <w:p w14:paraId="1BD6B747" w14:textId="5DAF1A67" w:rsidR="0098521B" w:rsidRDefault="0098521B" w:rsidP="0098521B">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k</w:t>
      </w:r>
      <w:r w:rsidRPr="00B31886">
        <w:rPr>
          <w:rFonts w:ascii="Times New Roman" w:hAnsi="Times New Roman" w:cs="Times New Roman"/>
          <w:sz w:val="24"/>
          <w:szCs w:val="24"/>
        </w:rPr>
        <w:t>oriģējoš</w:t>
      </w:r>
      <w:r>
        <w:rPr>
          <w:rFonts w:ascii="Times New Roman" w:hAnsi="Times New Roman" w:cs="Times New Roman"/>
          <w:sz w:val="24"/>
          <w:szCs w:val="24"/>
        </w:rPr>
        <w:t>i</w:t>
      </w:r>
      <w:r w:rsidRPr="00B31886">
        <w:rPr>
          <w:rFonts w:ascii="Times New Roman" w:hAnsi="Times New Roman" w:cs="Times New Roman"/>
          <w:sz w:val="24"/>
          <w:szCs w:val="24"/>
        </w:rPr>
        <w:t xml:space="preserve"> notikum</w:t>
      </w:r>
      <w:r>
        <w:rPr>
          <w:rFonts w:ascii="Times New Roman" w:hAnsi="Times New Roman" w:cs="Times New Roman"/>
          <w:sz w:val="24"/>
          <w:szCs w:val="24"/>
        </w:rPr>
        <w:t>i</w:t>
      </w:r>
      <w:r w:rsidRPr="00B31886">
        <w:rPr>
          <w:rFonts w:ascii="Times New Roman" w:hAnsi="Times New Roman" w:cs="Times New Roman"/>
          <w:sz w:val="24"/>
          <w:szCs w:val="24"/>
        </w:rPr>
        <w:t xml:space="preserve"> pēc bilances datuma finanšu pārskatā norād</w:t>
      </w:r>
      <w:r>
        <w:rPr>
          <w:rFonts w:ascii="Times New Roman" w:hAnsi="Times New Roman" w:cs="Times New Roman"/>
          <w:sz w:val="24"/>
          <w:szCs w:val="24"/>
        </w:rPr>
        <w:t>a,</w:t>
      </w:r>
      <w:r w:rsidRPr="00B31886">
        <w:rPr>
          <w:rFonts w:ascii="Times New Roman" w:hAnsi="Times New Roman" w:cs="Times New Roman"/>
          <w:sz w:val="24"/>
          <w:szCs w:val="24"/>
        </w:rPr>
        <w:t xml:space="preserve"> koriģējot posteņos iekļautās summas vai iekļaujot jaunus posteņus</w:t>
      </w:r>
      <w:r>
        <w:rPr>
          <w:rFonts w:ascii="Times New Roman" w:hAnsi="Times New Roman" w:cs="Times New Roman"/>
          <w:sz w:val="24"/>
          <w:szCs w:val="24"/>
        </w:rPr>
        <w:t>;</w:t>
      </w:r>
    </w:p>
    <w:p w14:paraId="1726E45F" w14:textId="15CE8EE2" w:rsidR="0098521B" w:rsidRPr="00B31886" w:rsidRDefault="0098521B" w:rsidP="0098521B">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B31886">
        <w:rPr>
          <w:rFonts w:ascii="Times New Roman" w:hAnsi="Times New Roman" w:cs="Times New Roman"/>
          <w:sz w:val="24"/>
          <w:szCs w:val="24"/>
        </w:rPr>
        <w:t>norāda informāciju par nekoriģējošiem notikumiem pēc bilances datuma – to būtību un paredzamajām finansiālajām sekām – vai apraksta, kādēļ nebija iespējams aplēst paredzamās finansiālās sekas</w:t>
      </w:r>
      <w:r>
        <w:rPr>
          <w:rFonts w:ascii="Times New Roman" w:hAnsi="Times New Roman" w:cs="Times New Roman"/>
          <w:sz w:val="24"/>
          <w:szCs w:val="24"/>
        </w:rPr>
        <w:t>;</w:t>
      </w:r>
    </w:p>
    <w:p w14:paraId="2D1E0DBB" w14:textId="38A186CA" w:rsidR="0098521B" w:rsidRDefault="0098521B" w:rsidP="0098521B">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B31886">
        <w:rPr>
          <w:rFonts w:ascii="Times New Roman" w:hAnsi="Times New Roman" w:cs="Times New Roman"/>
          <w:sz w:val="24"/>
          <w:szCs w:val="24"/>
        </w:rPr>
        <w:t>a nekoriģējošs notikums pēc bilances datuma ir iestājies pēc iestādes gada pārskata apstiprināšanas publiskošanai, iestāde par attiecīgo notikumu sniedz informāciju tai iestādei, kas veic konsolidāciju un izvērtē notikuma būtiskumu (ja ir zināma aplēse) un nozīmīgumu (ja nav zināma aplēse). Iestāde, kas veic konsolidāciju, informāciju par būtiskiem un nozīmīgiem nekoriģējošiem notikumiem pēc bilances datuma iekļauj konsolidētajā gada pārskatā, ja attiecīgais konsolidētais gada pārskats vēl nav apstiprināts publiskošanai. Būtiskuma līmeni nosaka saskaņā ar Valsts kases tīmekļvietnē publicēto informāciju kārtējam gadam</w:t>
      </w:r>
      <w:r>
        <w:rPr>
          <w:rFonts w:ascii="Times New Roman" w:hAnsi="Times New Roman" w:cs="Times New Roman"/>
          <w:sz w:val="24"/>
          <w:szCs w:val="24"/>
        </w:rPr>
        <w:t>;</w:t>
      </w:r>
      <w:r w:rsidRPr="00B31886">
        <w:rPr>
          <w:rFonts w:ascii="Times New Roman" w:hAnsi="Times New Roman" w:cs="Times New Roman"/>
          <w:sz w:val="24"/>
          <w:szCs w:val="24"/>
        </w:rPr>
        <w:t xml:space="preserve"> </w:t>
      </w:r>
    </w:p>
    <w:p w14:paraId="1F985C31" w14:textId="36DA03C1" w:rsidR="0098521B" w:rsidRPr="00B31886" w:rsidRDefault="0098521B" w:rsidP="0098521B">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B31886">
        <w:rPr>
          <w:rFonts w:ascii="Times New Roman" w:hAnsi="Times New Roman" w:cs="Times New Roman"/>
          <w:sz w:val="24"/>
          <w:szCs w:val="24"/>
        </w:rPr>
        <w:t>a nekoriģējošam notikumam pēc bilances datuma nebija iespējams aplēst paredzamo finansiālo ietekmi, tad novērtē, vai notikums ir nozīmīgs pašvaldībai</w:t>
      </w:r>
      <w:r>
        <w:rPr>
          <w:rFonts w:ascii="Times New Roman" w:hAnsi="Times New Roman" w:cs="Times New Roman"/>
          <w:sz w:val="24"/>
          <w:szCs w:val="24"/>
        </w:rPr>
        <w:t>;</w:t>
      </w:r>
    </w:p>
    <w:p w14:paraId="17E65D42" w14:textId="214424D1"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 xml:space="preserve">a attiecībā uz aizņēmumiem, kas bilances datumā klasificēti kā īstermiņa saistības, laikposmā starp pārskata datumu un datumu, kad finanšu pārskati ir apstiprināti publiskošanai, notiek turpmāk minētie notikumi, par tiem finanšu pārskatos norāda informāciju kā par nekoriģējošiem notikumiem pēc bilances datuma. Par nekoriģējošiem notikumiem pēc bilances datuma sniedz notikuma apraksts, norādot tā būtību un paredzamās finansiālās sekas, ja tādas ir iespējams aplēst, vai arī skaidro, kāpēc nav, iespējams aplēst paredzamās finansiālās sekas, kontu korespondence nākamajos periodos, ja darījumu iegrāmatos. </w:t>
      </w:r>
    </w:p>
    <w:p w14:paraId="7B945E5A" w14:textId="58BE662A"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 xml:space="preserve">a koriģējošs notikums pēc bilances datuma ir iestājies pēc iestādes gada pārskata apstiprināšanas publiskošanai, iestāde par attiecīgo notikumu sniedz informāciju tai iestādei, kas veic konsolidāciju. Iestāde, kas veic konsolidāciju, būtiskus koriģējošus notikumus pēc bilances datuma iekļauj konsolidētajā gada pārskatā, ja attiecīgais konsolidētais gada pārskats vēl nav apstiprināts publiskošanai. Par koriģējošiem notikumiem pēc bilances datuma sniedz koriģējošā notikuma aprakstu, kurā norādīta notikuma ekonomiskā būtība un vērtība </w:t>
      </w:r>
      <w:r w:rsidRPr="00881BC5">
        <w:rPr>
          <w:rFonts w:ascii="Times New Roman" w:hAnsi="Times New Roman" w:cs="Times New Roman"/>
          <w:i/>
          <w:iCs/>
          <w:sz w:val="24"/>
          <w:szCs w:val="24"/>
        </w:rPr>
        <w:t>euro,</w:t>
      </w:r>
      <w:r w:rsidRPr="00881BC5">
        <w:rPr>
          <w:rFonts w:ascii="Times New Roman" w:hAnsi="Times New Roman" w:cs="Times New Roman"/>
          <w:sz w:val="24"/>
          <w:szCs w:val="24"/>
        </w:rPr>
        <w:t xml:space="preserve"> kontu korespondence un atbilstošie budžeta klasifikācijas kodi, kā arī darījumā iesaistītās puses institucionālā sektora klasifikācijas kods</w:t>
      </w:r>
      <w:r>
        <w:rPr>
          <w:rFonts w:ascii="Times New Roman" w:hAnsi="Times New Roman" w:cs="Times New Roman"/>
          <w:sz w:val="24"/>
          <w:szCs w:val="24"/>
        </w:rPr>
        <w:t>;</w:t>
      </w:r>
    </w:p>
    <w:p w14:paraId="05F49770" w14:textId="26BB9675"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 xml:space="preserve">a pēc pašvaldības konsolidētā gada pārskata apstiprināšanas publiskošanai ir iestājies koriģējošs vai nekoriģējošs notikums, pašvaldība no pārskata gadam sekojošā saimnieciskā gada 1. jūlija līdz 10. jūlijam sniedz Finanšu ministrijai (Valsts kasei) informāciju par būtiskiem koriģējošiem un būtiskiem un nozīmīgiem nekoriģējošiem notikumiem pēc bilances datuma par laikposmu no datuma, kad pārskats apstiprināts publiskošanai, līdz pārskata gadam sekojošā saimnieciskā gada 30. jūnijam. </w:t>
      </w:r>
      <w:r w:rsidRPr="00881BC5">
        <w:rPr>
          <w:rFonts w:ascii="Times New Roman" w:hAnsi="Times New Roman" w:cs="Times New Roman"/>
          <w:sz w:val="24"/>
          <w:szCs w:val="24"/>
        </w:rPr>
        <w:lastRenderedPageBreak/>
        <w:t>Būtiskuma līmeni nosaka saskaņā ar Valsts kases tīmekļvietnē publicēto informāciju pārskata periodam</w:t>
      </w:r>
      <w:r>
        <w:rPr>
          <w:rFonts w:ascii="Times New Roman" w:hAnsi="Times New Roman" w:cs="Times New Roman"/>
          <w:sz w:val="24"/>
          <w:szCs w:val="24"/>
        </w:rPr>
        <w:t>;</w:t>
      </w:r>
    </w:p>
    <w:p w14:paraId="1362572B" w14:textId="636EF06B" w:rsidR="0098521B" w:rsidRDefault="0098521B" w:rsidP="0098521B">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Pr>
          <w:rFonts w:ascii="Times New Roman" w:hAnsi="Times New Roman" w:cs="Times New Roman"/>
          <w:sz w:val="24"/>
          <w:szCs w:val="24"/>
        </w:rPr>
        <w:t>j</w:t>
      </w:r>
      <w:r w:rsidRPr="00881BC5">
        <w:rPr>
          <w:rFonts w:ascii="Times New Roman" w:hAnsi="Times New Roman" w:cs="Times New Roman"/>
          <w:sz w:val="24"/>
          <w:szCs w:val="24"/>
        </w:rPr>
        <w:t>a nekoriģējošam notikumam pēc bilances datuma nebija iespējams aplēst paredzamo finansiālo ietekmi, tad novērtē, vai notikums ir nozīmīgs valstij. Konsolidētajā gada pārskatā finanšu pārskatu posteņu atzīšanā, novērtējumā, izklāstā</w:t>
      </w:r>
      <w:r>
        <w:rPr>
          <w:rFonts w:ascii="Times New Roman" w:hAnsi="Times New Roman" w:cs="Times New Roman"/>
          <w:sz w:val="24"/>
          <w:szCs w:val="24"/>
        </w:rPr>
        <w:t>,</w:t>
      </w:r>
      <w:r w:rsidRPr="00881BC5">
        <w:rPr>
          <w:rFonts w:ascii="Times New Roman" w:hAnsi="Times New Roman" w:cs="Times New Roman"/>
          <w:sz w:val="24"/>
          <w:szCs w:val="24"/>
        </w:rPr>
        <w:t xml:space="preserve"> vai norādīšanā ir pieļautas būtiskas kļūdas, kas nav labotas auditētajos konsolidētajos gada pārskatos, tad konsolidēto saimnieciskā gada pārskatu, par kuru nav sniegts Valsts kontroles atzinums, Finanšu ministrija (Valsts kase) koriģē no pārskata gadam sekojošā pārskata gada 10. jūlija līdz 15. jūlijam saskaņā ar tās noteikto būtiskuma līmeni pašvaldības sniegtajiem datiem par būtiskajiem koriģējošiem notikumiem pēc bilances datuma</w:t>
      </w:r>
      <w:r>
        <w:rPr>
          <w:rFonts w:ascii="Times New Roman" w:hAnsi="Times New Roman" w:cs="Times New Roman"/>
          <w:sz w:val="24"/>
          <w:szCs w:val="24"/>
        </w:rPr>
        <w:t>;</w:t>
      </w:r>
    </w:p>
    <w:p w14:paraId="320A1F39" w14:textId="48FE7475" w:rsidR="0098521B" w:rsidRDefault="0098521B" w:rsidP="0098521B">
      <w:pPr>
        <w:pStyle w:val="Sarakstarindkopa"/>
        <w:numPr>
          <w:ilvl w:val="2"/>
          <w:numId w:val="1"/>
        </w:numPr>
        <w:spacing w:after="120" w:line="240" w:lineRule="auto"/>
        <w:ind w:left="1843" w:hanging="850"/>
        <w:contextualSpacing w:val="0"/>
        <w:jc w:val="both"/>
        <w:rPr>
          <w:rFonts w:ascii="Times New Roman" w:hAnsi="Times New Roman" w:cs="Times New Roman"/>
          <w:sz w:val="24"/>
          <w:szCs w:val="24"/>
        </w:rPr>
      </w:pPr>
      <w:r w:rsidRPr="00B31886">
        <w:rPr>
          <w:rFonts w:ascii="Times New Roman" w:hAnsi="Times New Roman" w:cs="Times New Roman"/>
          <w:sz w:val="24"/>
          <w:szCs w:val="24"/>
          <w:u w:val="single"/>
        </w:rPr>
        <w:t>finanšu pārskata pielikums</w:t>
      </w:r>
      <w:r>
        <w:rPr>
          <w:rFonts w:ascii="Times New Roman" w:hAnsi="Times New Roman" w:cs="Times New Roman"/>
          <w:sz w:val="24"/>
          <w:szCs w:val="24"/>
        </w:rPr>
        <w:t xml:space="preserve"> (</w:t>
      </w:r>
      <w:r w:rsidRPr="00881BC5">
        <w:rPr>
          <w:rFonts w:ascii="Times New Roman" w:hAnsi="Times New Roman" w:cs="Times New Roman"/>
          <w:sz w:val="24"/>
          <w:szCs w:val="24"/>
        </w:rPr>
        <w:t>satur informāciju papildus tai, kas ir sniegta pārskatā par finansiālo stāvokli, pārskatā par darbības finansiālajiem rezultātiem, pašu kapitāla izmaiņu pārskatā un naudas plūsmas pārskatā</w:t>
      </w:r>
      <w:r>
        <w:rPr>
          <w:rFonts w:ascii="Times New Roman" w:hAnsi="Times New Roman" w:cs="Times New Roman"/>
          <w:sz w:val="24"/>
          <w:szCs w:val="24"/>
        </w:rPr>
        <w:t>, kā arī</w:t>
      </w:r>
      <w:r w:rsidRPr="00881BC5">
        <w:rPr>
          <w:rFonts w:ascii="Times New Roman" w:hAnsi="Times New Roman" w:cs="Times New Roman"/>
          <w:sz w:val="24"/>
          <w:szCs w:val="24"/>
        </w:rPr>
        <w:t xml:space="preserve"> </w:t>
      </w:r>
      <w:r>
        <w:rPr>
          <w:rFonts w:ascii="Times New Roman" w:hAnsi="Times New Roman" w:cs="Times New Roman"/>
          <w:sz w:val="24"/>
          <w:szCs w:val="24"/>
        </w:rPr>
        <w:t>s</w:t>
      </w:r>
      <w:r w:rsidRPr="00881BC5">
        <w:rPr>
          <w:rFonts w:ascii="Times New Roman" w:hAnsi="Times New Roman" w:cs="Times New Roman"/>
          <w:sz w:val="24"/>
          <w:szCs w:val="24"/>
        </w:rPr>
        <w:t>niedz skaidrojumu par pārskatos norādītajiem posteņiem vai, norāda posteņu detalizētāku sadalījumu, kā arī, sniedz informāciju par posteņiem, kas neatbilst normatīvajos aktos grāmatvedības uzskaites jomā noteiktajiem atzīšanas kritērijie</w:t>
      </w:r>
      <w:r>
        <w:rPr>
          <w:rFonts w:ascii="Times New Roman" w:hAnsi="Times New Roman" w:cs="Times New Roman"/>
          <w:sz w:val="24"/>
          <w:szCs w:val="24"/>
        </w:rPr>
        <w:t xml:space="preserve">m), </w:t>
      </w:r>
      <w:r w:rsidRPr="005C2FA3">
        <w:rPr>
          <w:rFonts w:ascii="Times New Roman" w:hAnsi="Times New Roman" w:cs="Times New Roman"/>
          <w:sz w:val="24"/>
          <w:szCs w:val="24"/>
        </w:rPr>
        <w:t>kas sastāv no</w:t>
      </w:r>
      <w:r>
        <w:rPr>
          <w:rFonts w:ascii="Times New Roman" w:hAnsi="Times New Roman" w:cs="Times New Roman"/>
          <w:sz w:val="24"/>
          <w:szCs w:val="24"/>
        </w:rPr>
        <w:t>:</w:t>
      </w:r>
    </w:p>
    <w:p w14:paraId="473277F8" w14:textId="77777777"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grāmatvedības uzskaites principu apraksta;</w:t>
      </w:r>
    </w:p>
    <w:p w14:paraId="7631350A" w14:textId="77777777"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finanšu pārskata sagatavošanas pamatprincipiem;</w:t>
      </w:r>
    </w:p>
    <w:p w14:paraId="58CCB991" w14:textId="77777777"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gada pārskata sagatavošanas principu apraksta;</w:t>
      </w:r>
    </w:p>
    <w:p w14:paraId="40F7D01C" w14:textId="77777777" w:rsidR="0098521B" w:rsidRPr="00881BC5"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finanšu instrumentu risku pārvaldīšanas apraksta;</w:t>
      </w:r>
    </w:p>
    <w:p w14:paraId="7DF7933E" w14:textId="77777777" w:rsidR="0098521B" w:rsidRDefault="0098521B" w:rsidP="00B31886">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881BC5">
        <w:rPr>
          <w:rFonts w:ascii="Times New Roman" w:hAnsi="Times New Roman" w:cs="Times New Roman"/>
          <w:sz w:val="24"/>
          <w:szCs w:val="24"/>
        </w:rPr>
        <w:t>finanšu pārskata posteņu strukturizēta skaidrojuma.</w:t>
      </w:r>
    </w:p>
    <w:p w14:paraId="1DD89FE5" w14:textId="4B0E8CC6" w:rsidR="0098521B" w:rsidRDefault="0098521B" w:rsidP="0098521B">
      <w:pPr>
        <w:pStyle w:val="Sarakstarindkopa"/>
        <w:numPr>
          <w:ilvl w:val="3"/>
          <w:numId w:val="1"/>
        </w:numPr>
        <w:spacing w:after="120" w:line="240" w:lineRule="auto"/>
        <w:ind w:left="2694" w:hanging="851"/>
        <w:contextualSpacing w:val="0"/>
        <w:jc w:val="both"/>
        <w:rPr>
          <w:rFonts w:ascii="Times New Roman" w:hAnsi="Times New Roman" w:cs="Times New Roman"/>
          <w:sz w:val="24"/>
          <w:szCs w:val="24"/>
        </w:rPr>
      </w:pPr>
      <w:r w:rsidRPr="008702DF">
        <w:rPr>
          <w:rFonts w:ascii="Times New Roman" w:hAnsi="Times New Roman" w:cs="Times New Roman"/>
          <w:sz w:val="24"/>
          <w:szCs w:val="24"/>
        </w:rPr>
        <w:t>pašvaldības konsolidētajā gada pārskatā iekļauj kā vienotā kopumā 1.-5. punktos minēto dokumentu un apliecinājumu Valsts kasei par gadā pārskatā sniegtās informācijas patiesumu.</w:t>
      </w:r>
    </w:p>
    <w:p w14:paraId="083B59E8" w14:textId="59CF671F" w:rsidR="001E36CE" w:rsidRDefault="001E36CE" w:rsidP="001E36CE">
      <w:pPr>
        <w:pStyle w:val="Sarakstarindkopa"/>
        <w:numPr>
          <w:ilvl w:val="0"/>
          <w:numId w:val="1"/>
        </w:numPr>
        <w:spacing w:after="120" w:line="240" w:lineRule="auto"/>
        <w:ind w:left="426" w:hanging="426"/>
        <w:contextualSpacing w:val="0"/>
        <w:jc w:val="both"/>
        <w:rPr>
          <w:rFonts w:ascii="Times New Roman" w:hAnsi="Times New Roman" w:cs="Times New Roman"/>
          <w:sz w:val="24"/>
          <w:szCs w:val="24"/>
        </w:rPr>
      </w:pPr>
      <w:r w:rsidRPr="00B31886">
        <w:rPr>
          <w:rFonts w:ascii="Times New Roman" w:hAnsi="Times New Roman" w:cs="Times New Roman"/>
          <w:sz w:val="24"/>
          <w:szCs w:val="24"/>
        </w:rPr>
        <w:t>Gada pārskatu sagatavo</w:t>
      </w:r>
      <w:r>
        <w:rPr>
          <w:rFonts w:ascii="Times New Roman" w:hAnsi="Times New Roman" w:cs="Times New Roman"/>
          <w:sz w:val="24"/>
          <w:szCs w:val="24"/>
        </w:rPr>
        <w:t>:</w:t>
      </w:r>
    </w:p>
    <w:p w14:paraId="748DA0B0" w14:textId="77777777" w:rsidR="00F949D3" w:rsidRPr="00881BC5" w:rsidRDefault="0043284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saskaņā ar uzkrāšanas principu un naudas plūsmas principu;</w:t>
      </w:r>
    </w:p>
    <w:p w14:paraId="5E2E4CDE" w14:textId="77777777" w:rsidR="00F949D3" w:rsidRPr="00881BC5" w:rsidRDefault="0043284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darbības turpināšana principu;</w:t>
      </w:r>
    </w:p>
    <w:p w14:paraId="687E8552" w14:textId="77777777" w:rsidR="00F949D3" w:rsidRPr="00881BC5" w:rsidRDefault="0043284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grāmatvedības uzskaites datiem, kurus klasificē</w:t>
      </w:r>
      <w:r w:rsidR="00856356" w:rsidRPr="00881BC5">
        <w:rPr>
          <w:sz w:val="24"/>
          <w:szCs w:val="24"/>
        </w:rPr>
        <w:t>,</w:t>
      </w:r>
      <w:r w:rsidRPr="00881BC5">
        <w:rPr>
          <w:sz w:val="24"/>
          <w:szCs w:val="24"/>
        </w:rPr>
        <w:t xml:space="preserve"> atbilstoši normatīvajiem aktiem budžeta iestāžu grāmatvedības uzskaites un budžetu klasifikācijas jomā</w:t>
      </w:r>
      <w:r w:rsidR="00A833D6" w:rsidRPr="00881BC5">
        <w:rPr>
          <w:sz w:val="24"/>
          <w:szCs w:val="24"/>
        </w:rPr>
        <w:t>;</w:t>
      </w:r>
    </w:p>
    <w:p w14:paraId="79C42D95" w14:textId="77777777" w:rsidR="00F949D3" w:rsidRPr="00881BC5" w:rsidRDefault="00A833D6"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kā vienas vienības konsolidēto pārskatu, izslēdzot savstarpējos darījumus un atlikumus starp konsolidācijā iesaistītajām vienībām</w:t>
      </w:r>
      <w:r w:rsidR="00D86823" w:rsidRPr="00881BC5">
        <w:rPr>
          <w:sz w:val="24"/>
          <w:szCs w:val="24"/>
        </w:rPr>
        <w:t>;</w:t>
      </w:r>
    </w:p>
    <w:p w14:paraId="6DEF4C24" w14:textId="09A7E521" w:rsidR="005B49DE" w:rsidRPr="00881BC5" w:rsidRDefault="008059A5"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būtiskuma līme</w:t>
      </w:r>
      <w:r w:rsidR="00B7713F" w:rsidRPr="00881BC5">
        <w:rPr>
          <w:sz w:val="24"/>
          <w:szCs w:val="24"/>
        </w:rPr>
        <w:t>ņa,</w:t>
      </w:r>
      <w:r w:rsidRPr="00881BC5">
        <w:rPr>
          <w:sz w:val="24"/>
          <w:szCs w:val="24"/>
        </w:rPr>
        <w:t xml:space="preserve"> </w:t>
      </w:r>
      <w:r w:rsidR="00B7713F" w:rsidRPr="00881BC5">
        <w:rPr>
          <w:sz w:val="24"/>
          <w:szCs w:val="24"/>
        </w:rPr>
        <w:t>g</w:t>
      </w:r>
      <w:r w:rsidRPr="00881BC5">
        <w:rPr>
          <w:sz w:val="24"/>
          <w:szCs w:val="24"/>
        </w:rPr>
        <w:t xml:space="preserve">ada pārskatā </w:t>
      </w:r>
      <w:r w:rsidR="006143B4" w:rsidRPr="00881BC5">
        <w:rPr>
          <w:sz w:val="24"/>
          <w:szCs w:val="24"/>
        </w:rPr>
        <w:t xml:space="preserve">būtiskums ir atkarīgs no </w:t>
      </w:r>
      <w:r w:rsidR="00CC3E34" w:rsidRPr="00881BC5">
        <w:rPr>
          <w:sz w:val="24"/>
          <w:szCs w:val="24"/>
        </w:rPr>
        <w:t>attiecīgā posteņa vai kļūdas lieluma un rakstura</w:t>
      </w:r>
      <w:r w:rsidR="005B49DE" w:rsidRPr="00881BC5">
        <w:rPr>
          <w:sz w:val="24"/>
          <w:szCs w:val="24"/>
        </w:rPr>
        <w:t>, ņemot vērā informācijas nesniegšanas vai nepareizās norādīšanas konkrētos apstākļus</w:t>
      </w:r>
      <w:r w:rsidR="001E36CE">
        <w:rPr>
          <w:sz w:val="24"/>
          <w:szCs w:val="24"/>
        </w:rPr>
        <w:t>;</w:t>
      </w:r>
    </w:p>
    <w:p w14:paraId="142EE6F9" w14:textId="090DCF57" w:rsidR="005B49DE" w:rsidRPr="00881BC5" w:rsidRDefault="005B49DE"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i</w:t>
      </w:r>
      <w:r w:rsidR="00D07854" w:rsidRPr="00881BC5">
        <w:rPr>
          <w:sz w:val="24"/>
          <w:szCs w:val="24"/>
        </w:rPr>
        <w:t>epriekšējo periodu kļūdu labojumu, grāmatvedības uzskaites principu un aplēšu maiņas norādīšana</w:t>
      </w:r>
      <w:r w:rsidR="00CB145F" w:rsidRPr="00881BC5">
        <w:rPr>
          <w:sz w:val="24"/>
          <w:szCs w:val="24"/>
        </w:rPr>
        <w:t xml:space="preserve">. </w:t>
      </w:r>
      <w:r w:rsidR="00DB11A5" w:rsidRPr="00881BC5">
        <w:rPr>
          <w:sz w:val="24"/>
          <w:szCs w:val="24"/>
        </w:rPr>
        <w:t xml:space="preserve"> Par iepriekšējo periodu datu korekciju informācija norādāma </w:t>
      </w:r>
      <w:r w:rsidR="00D31EE4" w:rsidRPr="00881BC5">
        <w:rPr>
          <w:sz w:val="24"/>
          <w:szCs w:val="24"/>
        </w:rPr>
        <w:t>finanšu pārskata pielikumā</w:t>
      </w:r>
      <w:r w:rsidR="001E36CE">
        <w:rPr>
          <w:sz w:val="24"/>
          <w:szCs w:val="24"/>
        </w:rPr>
        <w:t>;</w:t>
      </w:r>
    </w:p>
    <w:p w14:paraId="63119C50" w14:textId="71D7F534" w:rsidR="00234AB8" w:rsidRPr="00881BC5" w:rsidRDefault="005B49DE"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n</w:t>
      </w:r>
      <w:r w:rsidR="00312444" w:rsidRPr="00881BC5">
        <w:rPr>
          <w:sz w:val="24"/>
          <w:szCs w:val="24"/>
        </w:rPr>
        <w:t xml:space="preserve">otikumi pēc bilances datuma. </w:t>
      </w:r>
      <w:r w:rsidR="0046734E" w:rsidRPr="00881BC5">
        <w:rPr>
          <w:sz w:val="24"/>
          <w:szCs w:val="24"/>
        </w:rPr>
        <w:t xml:space="preserve">Koriģējošus notikumus pēc bilances datuma finanšu pārskatā norāda, koriģējot posteņos iekļautās summas vai iekļaujot jaunus posteņus. Finanšu pārskatā norāda informāciju par nekoriģējošiem notikumiem pēc bilances datuma – to būtību un paredzamajām finansiālajām sekām – vai apraksta, kādēļ </w:t>
      </w:r>
      <w:r w:rsidR="0046734E" w:rsidRPr="00881BC5">
        <w:rPr>
          <w:sz w:val="24"/>
          <w:szCs w:val="24"/>
        </w:rPr>
        <w:lastRenderedPageBreak/>
        <w:t>nebija iespējams aplēst paredzamās finansiālās sekas</w:t>
      </w:r>
      <w:r w:rsidR="001E36CE">
        <w:rPr>
          <w:sz w:val="24"/>
          <w:szCs w:val="24"/>
        </w:rPr>
        <w:t>;</w:t>
      </w:r>
    </w:p>
    <w:p w14:paraId="6AAB2A2B" w14:textId="4A0D49DE" w:rsidR="00912E34" w:rsidRPr="00881BC5" w:rsidRDefault="00BC2638"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a</w:t>
      </w:r>
      <w:r w:rsidR="00912E34" w:rsidRPr="00881BC5">
        <w:rPr>
          <w:sz w:val="24"/>
          <w:szCs w:val="24"/>
        </w:rPr>
        <w:t>pliecinājumu par gada pārskatā sniegtās informācijas patiesumu</w:t>
      </w:r>
      <w:r w:rsidR="008065BD" w:rsidRPr="00881BC5">
        <w:rPr>
          <w:sz w:val="24"/>
          <w:szCs w:val="24"/>
        </w:rPr>
        <w:t>.</w:t>
      </w:r>
    </w:p>
    <w:p w14:paraId="58CA9A66" w14:textId="31780AC4" w:rsidR="007C616B" w:rsidRDefault="007C616B" w:rsidP="00B31886">
      <w:pPr>
        <w:pStyle w:val="Bodytext20"/>
        <w:numPr>
          <w:ilvl w:val="0"/>
          <w:numId w:val="12"/>
        </w:numPr>
        <w:shd w:val="clear" w:color="auto" w:fill="auto"/>
        <w:tabs>
          <w:tab w:val="left" w:pos="426"/>
        </w:tabs>
        <w:spacing w:before="0" w:after="120" w:line="240" w:lineRule="auto"/>
        <w:ind w:left="425" w:hanging="425"/>
        <w:jc w:val="both"/>
        <w:rPr>
          <w:sz w:val="24"/>
          <w:szCs w:val="24"/>
        </w:rPr>
      </w:pPr>
      <w:r w:rsidRPr="00881BC5">
        <w:rPr>
          <w:sz w:val="24"/>
          <w:szCs w:val="24"/>
        </w:rPr>
        <w:t>Gada pārskata</w:t>
      </w:r>
      <w:r w:rsidR="001E51CA" w:rsidRPr="00881BC5">
        <w:rPr>
          <w:sz w:val="24"/>
          <w:szCs w:val="24"/>
        </w:rPr>
        <w:t xml:space="preserve"> </w:t>
      </w:r>
      <w:r w:rsidRPr="00881BC5">
        <w:rPr>
          <w:sz w:val="24"/>
          <w:szCs w:val="24"/>
        </w:rPr>
        <w:t>finanšu un nefinanšu informāciju sagatavo, ievērojot kvalitātes pazīmes:</w:t>
      </w:r>
    </w:p>
    <w:p w14:paraId="374EDC46" w14:textId="77777777" w:rsidR="009B2700" w:rsidRPr="00881BC5" w:rsidRDefault="007C616B"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patiesums – iekļautā informācija ir pilnīga un neitrāla (objektīva), un tajā nav būtisku kļūdu, lai informācijas lietotāji var paļauties, ka ir norādīta visa informācija, kas bija jānorāda, vai ir pamatoti iemesli uzskatīt, ka šāda informācija tiks norādīta. Pieņemot lēmumus par novērtējumu, ievēro piesardzības principu, lai aktīvus un ieņēmumus nenovērtētu par augstu, bet saistības un izdevumus – par zemu;</w:t>
      </w:r>
    </w:p>
    <w:p w14:paraId="2F3CCC73" w14:textId="04E6B276" w:rsidR="009B2700" w:rsidRPr="00881BC5" w:rsidRDefault="007C616B"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nozīmīgums – informācija ir nozīmīga, ja tās nenorādīšana vai neprecīza norādīšana var ietekmēt gada pārskata lietotāju lēmumus, k</w:t>
      </w:r>
      <w:r w:rsidR="001E36CE">
        <w:rPr>
          <w:sz w:val="24"/>
          <w:szCs w:val="24"/>
        </w:rPr>
        <w:t>as</w:t>
      </w:r>
      <w:r w:rsidRPr="00881BC5">
        <w:rPr>
          <w:sz w:val="24"/>
          <w:szCs w:val="24"/>
        </w:rPr>
        <w:t xml:space="preserve"> pieņemti, pamatojoties uz šo informāciju. Šāda informācija apstiprina</w:t>
      </w:r>
      <w:r w:rsidR="001E36CE">
        <w:rPr>
          <w:sz w:val="24"/>
          <w:szCs w:val="24"/>
        </w:rPr>
        <w:t>,</w:t>
      </w:r>
      <w:r w:rsidRPr="00881BC5">
        <w:rPr>
          <w:sz w:val="24"/>
          <w:szCs w:val="24"/>
        </w:rPr>
        <w:t xml:space="preserve"> vai maina pagātnes vai tagadnes pieņēmumus un novērtējumus un atklāj iestādes plānoto darbību, mērķus, resursu avotus un izdevumus;</w:t>
      </w:r>
    </w:p>
    <w:p w14:paraId="316FDE88" w14:textId="4AB350BF" w:rsidR="009B2700" w:rsidRPr="00881BC5" w:rsidRDefault="00C12EA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saprotamība – informāciju norāda tā, lai gada pārskata lietotāji izprastu, kā konkrēti darījumi vai notikumi ietekmē iestādes finansiālo stāvokli</w:t>
      </w:r>
      <w:r w:rsidR="001E36CE">
        <w:rPr>
          <w:sz w:val="24"/>
          <w:szCs w:val="24"/>
        </w:rPr>
        <w:t>,</w:t>
      </w:r>
      <w:r w:rsidRPr="00881BC5">
        <w:rPr>
          <w:sz w:val="24"/>
          <w:szCs w:val="24"/>
        </w:rPr>
        <w:t xml:space="preserve"> vai darbības finansiālos rezultātus pārskata gadā vai nākotnē;</w:t>
      </w:r>
    </w:p>
    <w:p w14:paraId="1052F160" w14:textId="77777777" w:rsidR="009B2700" w:rsidRPr="00881BC5" w:rsidRDefault="00C12EA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savlaicīgums – informācijas sniegšanas termiņš nodrošina iespēju to izmantot, izvērtējot pagātnes, tagadnes vai nākotnes notikumus, apstiprinot vai mainot iepriekšējos pieņēmumus un novērtējumus;</w:t>
      </w:r>
    </w:p>
    <w:p w14:paraId="6843F1A8" w14:textId="215916AF" w:rsidR="004B059C" w:rsidRDefault="00C12EA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881BC5">
        <w:rPr>
          <w:sz w:val="24"/>
          <w:szCs w:val="24"/>
        </w:rPr>
        <w:t>salīdzināmība – nodrošina iespēju identificēt līdzības un atšķirības starp diviem apstākļu kopumiem. Grāmatvedības uzskaites principus lieto konsekventi. Posteņu uzskaitījums un klasifikācija visos pārskata periodos ir vienāda, izņemot gadījumu, ja posteņu uzskaitījuma un klasifikācijas maiņa ir paredzēta normatīvajos aktos budžeta un finanšu jomā. Savstarpēji salīdzināmi dati atbilst cits citam dažādos pārskatos un to pielikumos</w:t>
      </w:r>
      <w:r w:rsidR="001E36CE">
        <w:rPr>
          <w:sz w:val="24"/>
          <w:szCs w:val="24"/>
        </w:rPr>
        <w:t>;</w:t>
      </w:r>
    </w:p>
    <w:p w14:paraId="2F36E234" w14:textId="456FACC6" w:rsidR="009B2700" w:rsidRPr="004B059C" w:rsidRDefault="009B2700" w:rsidP="00B31886">
      <w:pPr>
        <w:pStyle w:val="Bodytext20"/>
        <w:numPr>
          <w:ilvl w:val="1"/>
          <w:numId w:val="12"/>
        </w:numPr>
        <w:shd w:val="clear" w:color="auto" w:fill="auto"/>
        <w:tabs>
          <w:tab w:val="left" w:pos="993"/>
        </w:tabs>
        <w:spacing w:before="0" w:after="120" w:line="240" w:lineRule="auto"/>
        <w:ind w:left="992" w:hanging="567"/>
        <w:jc w:val="both"/>
        <w:rPr>
          <w:sz w:val="24"/>
          <w:szCs w:val="24"/>
        </w:rPr>
      </w:pPr>
      <w:r w:rsidRPr="004B059C">
        <w:rPr>
          <w:sz w:val="24"/>
          <w:szCs w:val="24"/>
        </w:rPr>
        <w:t>pārbaudāmība – nodrošina, ka grāmatvedības jautājumos kvalificēta trešā persona, veicot informācijas pārbaudi vai šīs informācijas atkārtotu sagatavošanu, nonāktu pie tāda paša secinājuma, pie kāda nonākusi iestāde, sagatavojot gada pārskatu.</w:t>
      </w:r>
    </w:p>
    <w:p w14:paraId="1026FF2B" w14:textId="71C80BCA" w:rsidR="00001080" w:rsidRPr="001E36CE" w:rsidRDefault="00982927"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Gada pārskata sagatavošanas laikā, veicot inventarizāciju, salīdzina darījuma partneru kontu atlikumus pārskata perioda pēdējā dienā un darījumus (naudas un bezatlīdzības) pārskata periodā.</w:t>
      </w:r>
    </w:p>
    <w:p w14:paraId="4C861BCB" w14:textId="22794AE2" w:rsidR="00673B48" w:rsidRPr="001E36CE" w:rsidRDefault="00B7403B"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Laik</w:t>
      </w:r>
      <w:r w:rsidR="001E36CE">
        <w:rPr>
          <w:sz w:val="24"/>
          <w:szCs w:val="24"/>
        </w:rPr>
        <w:t xml:space="preserve">a </w:t>
      </w:r>
      <w:r w:rsidRPr="00881BC5">
        <w:rPr>
          <w:sz w:val="24"/>
          <w:szCs w:val="24"/>
        </w:rPr>
        <w:t>posmā no 1. janvāra līdz 31. janvārim, izmantojot ePārskatus, elektroniski sagatavo salīdzināšanas aktus saskaņā ar attaisnojuma dokumentiem, kas sagatavoti līdz 21. janvārim.</w:t>
      </w:r>
    </w:p>
    <w:p w14:paraId="7EF501F7" w14:textId="223A7561" w:rsidR="00001080"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Salīdzināšanas aktā norādītie konti, klasifikācijas kodi un summas atbilst gada pārskatā un finanšu pārskata pielikumā norādītajiem datiem.</w:t>
      </w:r>
    </w:p>
    <w:p w14:paraId="3D2292BB" w14:textId="37B5C356" w:rsidR="00001080"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Salīdzināšanas aktu paraksta iestādes atbildīgais finanšu darbinieks</w:t>
      </w:r>
      <w:r w:rsidR="00C47556" w:rsidRPr="00881BC5">
        <w:rPr>
          <w:sz w:val="24"/>
          <w:szCs w:val="24"/>
        </w:rPr>
        <w:t>, vai tā pilnvarota persona</w:t>
      </w:r>
      <w:r w:rsidRPr="00881BC5">
        <w:rPr>
          <w:sz w:val="24"/>
          <w:szCs w:val="24"/>
        </w:rPr>
        <w:t>, kas atbildīga par gada pārskata sagatavošanu.</w:t>
      </w:r>
    </w:p>
    <w:p w14:paraId="254A018E" w14:textId="53137D74"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Darījuma partneris atbildi uz pieprasījumu saskaņot salīdzināšanas aktu sniedz 10 dienu laikā, bet ne vēlāk kā līdz 31. janvārim. Saskaņotu salīdzināšanas aktu var labot līdz datumam, kad pārskats apstiprināts publiskošanai, ja abas puses par to savstarpēji vienojas</w:t>
      </w:r>
      <w:r w:rsidR="00C47556" w:rsidRPr="00881BC5">
        <w:rPr>
          <w:sz w:val="24"/>
          <w:szCs w:val="24"/>
        </w:rPr>
        <w:t>.</w:t>
      </w:r>
    </w:p>
    <w:p w14:paraId="1ACC8CFC" w14:textId="2DC0A25C"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Ja rodas strīds vai nav saņemta atbilde, prasību un saistību atlikumus bilancē norāda atbilstoši iestādes grāmatvedības datiem.</w:t>
      </w:r>
    </w:p>
    <w:p w14:paraId="12E7EF34" w14:textId="52216762"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Ja pārskata periodā notiek iestādes likvidācija, salīdzināšanu veic iestāde, kas ir likvidētās iestādes tiesību, saistību, finanšu līdzekļu, mantas un lietvedības pārņēmēja.</w:t>
      </w:r>
    </w:p>
    <w:p w14:paraId="09CDC7B0" w14:textId="6687EAC6" w:rsidR="00C47556" w:rsidRPr="001E36CE" w:rsidRDefault="00001080"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lastRenderedPageBreak/>
        <w:t>Ja pārskata periodā notiek iestādes reorganizācija, salīdzināšanu veic iestāde, kas ir reorganizētās iestādes tiesību, saistību, finanšu līdzekļu, mantas un lietvedības pārņēmēja.</w:t>
      </w:r>
    </w:p>
    <w:p w14:paraId="76762C02" w14:textId="07469569" w:rsidR="0037726B" w:rsidRPr="00B31886" w:rsidRDefault="00001080" w:rsidP="00B31886">
      <w:pPr>
        <w:pStyle w:val="Bodytext20"/>
        <w:numPr>
          <w:ilvl w:val="0"/>
          <w:numId w:val="12"/>
        </w:numPr>
        <w:shd w:val="clear" w:color="auto" w:fill="auto"/>
        <w:tabs>
          <w:tab w:val="left" w:pos="426"/>
        </w:tabs>
        <w:spacing w:before="0" w:after="120" w:line="240" w:lineRule="auto"/>
        <w:ind w:left="426" w:hanging="426"/>
        <w:jc w:val="both"/>
        <w:rPr>
          <w:b/>
          <w:bCs/>
          <w:sz w:val="24"/>
          <w:szCs w:val="24"/>
        </w:rPr>
      </w:pPr>
      <w:r w:rsidRPr="00881BC5">
        <w:rPr>
          <w:sz w:val="24"/>
          <w:szCs w:val="24"/>
        </w:rPr>
        <w:t>Ja notiek iestādes padotības maiņa, salīdzināšanu par periodu līdz padotības maiņai veic tā augstākā iestāde, kuras padotībā bija attiecīgā iestāde līdz padotības maiņai, bet salīdzināšanu pēc padotības maiņas – tā augstākā iestāde, kuras padotībā iestāde ir pēc padotības maiņas.</w:t>
      </w:r>
    </w:p>
    <w:p w14:paraId="6610C6E7" w14:textId="08EC90A8" w:rsidR="00896713" w:rsidRPr="00881BC5" w:rsidRDefault="0037726B" w:rsidP="00B31886">
      <w:pPr>
        <w:pStyle w:val="Sarakstarindkopa"/>
        <w:spacing w:after="120"/>
        <w:ind w:left="426" w:hanging="426"/>
        <w:contextualSpacing w:val="0"/>
        <w:jc w:val="center"/>
        <w:rPr>
          <w:rFonts w:ascii="Times New Roman" w:hAnsi="Times New Roman" w:cs="Times New Roman"/>
          <w:b/>
          <w:bCs/>
          <w:sz w:val="24"/>
          <w:szCs w:val="24"/>
        </w:rPr>
      </w:pPr>
      <w:r w:rsidRPr="00881BC5">
        <w:rPr>
          <w:rFonts w:ascii="Times New Roman" w:hAnsi="Times New Roman" w:cs="Times New Roman"/>
          <w:b/>
          <w:bCs/>
          <w:sz w:val="24"/>
          <w:szCs w:val="24"/>
        </w:rPr>
        <w:t>IV. Pārskatu iesniegšanas process</w:t>
      </w:r>
    </w:p>
    <w:p w14:paraId="71346406" w14:textId="39DE8AB4" w:rsidR="0037726B" w:rsidRPr="001E36CE" w:rsidRDefault="00103FA9"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Gada pārskatu paraksta iestādes vadītājs vai viņa pilnvarota persona un atbildīgais finanšu darbinieks vai tā persona, kas atbildīga par gada pārskata sagatavošanu.</w:t>
      </w:r>
    </w:p>
    <w:p w14:paraId="088C4DE2" w14:textId="297BDFA7" w:rsidR="0037726B" w:rsidRPr="001E36CE" w:rsidRDefault="00103FA9"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Revidents ePārskatos pārbauda un apstiprina, ka gada pārskats</w:t>
      </w:r>
      <w:r w:rsidR="00DB04EE" w:rsidRPr="00881BC5">
        <w:rPr>
          <w:sz w:val="24"/>
          <w:szCs w:val="24"/>
        </w:rPr>
        <w:t>,</w:t>
      </w:r>
      <w:r w:rsidRPr="00881BC5">
        <w:rPr>
          <w:sz w:val="24"/>
          <w:szCs w:val="24"/>
        </w:rPr>
        <w:t xml:space="preserve"> vai konsolidētais gada pārskats (izņemot apliecinājumu par gada pārskatā sniegtās informācijas patiesumu) atbilst tam gada pārskatam vai konsolidētajam gada pārskatam, par kuru revidents sniedzis attiecīgi atzinumu vai ziņojumu.</w:t>
      </w:r>
    </w:p>
    <w:p w14:paraId="21B828B6" w14:textId="103FCF5B" w:rsidR="009879A3" w:rsidRPr="001E36CE" w:rsidRDefault="00BD1571"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Pašvaldības konsolidētais gada pārskats ir iesniegts datumā, kad gada pārskats apstiprināts publiskošanai.</w:t>
      </w:r>
    </w:p>
    <w:p w14:paraId="32A7879B" w14:textId="76F6BBB3" w:rsidR="00612F64" w:rsidRPr="001E36CE" w:rsidRDefault="007E55AD"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P</w:t>
      </w:r>
      <w:r w:rsidR="0051251A" w:rsidRPr="00881BC5">
        <w:rPr>
          <w:sz w:val="24"/>
          <w:szCs w:val="24"/>
        </w:rPr>
        <w:t>ašvaldība</w:t>
      </w:r>
      <w:r w:rsidRPr="00881BC5">
        <w:rPr>
          <w:sz w:val="24"/>
          <w:szCs w:val="24"/>
        </w:rPr>
        <w:t xml:space="preserve"> un t</w:t>
      </w:r>
      <w:r w:rsidR="001E36CE">
        <w:rPr>
          <w:sz w:val="24"/>
          <w:szCs w:val="24"/>
        </w:rPr>
        <w:t>ās</w:t>
      </w:r>
      <w:r w:rsidRPr="00881BC5">
        <w:rPr>
          <w:sz w:val="24"/>
          <w:szCs w:val="24"/>
        </w:rPr>
        <w:t xml:space="preserve"> padotības iestādes </w:t>
      </w:r>
      <w:r w:rsidR="0051251A" w:rsidRPr="00881BC5">
        <w:rPr>
          <w:sz w:val="24"/>
          <w:szCs w:val="24"/>
        </w:rPr>
        <w:t>gada pārskata sagatavošanai, pārbaudei, parakstīšanai, apstiprināšanai un iesniegšanai lieto Valsts kases e-pakalpojumu "ePārskati" atbilstoši normatīvajiem aktiem par kārtību, kādā Valsts kase nodrošina elektronisko informācijas apmaiņu. Pašvaldīb</w:t>
      </w:r>
      <w:r w:rsidR="001E36CE">
        <w:rPr>
          <w:sz w:val="24"/>
          <w:szCs w:val="24"/>
        </w:rPr>
        <w:t>as</w:t>
      </w:r>
      <w:r w:rsidR="0051251A" w:rsidRPr="00881BC5">
        <w:rPr>
          <w:sz w:val="24"/>
          <w:szCs w:val="24"/>
        </w:rPr>
        <w:t xml:space="preserve"> iestādes</w:t>
      </w:r>
      <w:r w:rsidR="001E36CE">
        <w:rPr>
          <w:sz w:val="24"/>
          <w:szCs w:val="24"/>
        </w:rPr>
        <w:t xml:space="preserve"> un</w:t>
      </w:r>
      <w:r w:rsidR="0051251A" w:rsidRPr="00881BC5">
        <w:rPr>
          <w:sz w:val="24"/>
          <w:szCs w:val="24"/>
        </w:rPr>
        <w:t xml:space="preserve"> </w:t>
      </w:r>
      <w:r w:rsidR="001E36CE">
        <w:rPr>
          <w:sz w:val="24"/>
          <w:szCs w:val="24"/>
        </w:rPr>
        <w:t>A</w:t>
      </w:r>
      <w:r w:rsidR="0051251A" w:rsidRPr="00881BC5">
        <w:rPr>
          <w:sz w:val="24"/>
          <w:szCs w:val="24"/>
        </w:rPr>
        <w:t>ģentūra šim mērķim ePārskatus lieto atbilstoši attiecīgās iestādes vadītāja lēmumam.</w:t>
      </w:r>
    </w:p>
    <w:p w14:paraId="0D6BBFCB" w14:textId="728BA8C0" w:rsidR="001247D8" w:rsidRPr="001E36CE" w:rsidRDefault="009447E7"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881BC5">
        <w:rPr>
          <w:sz w:val="24"/>
          <w:szCs w:val="24"/>
        </w:rPr>
        <w:t>Konsolidēto saimnieciskā gada pārskatu sagatavo un iesniedz elektroniska dokumenta formātā</w:t>
      </w:r>
      <w:r w:rsidR="001247D8">
        <w:rPr>
          <w:sz w:val="24"/>
          <w:szCs w:val="24"/>
        </w:rPr>
        <w:t>.</w:t>
      </w:r>
    </w:p>
    <w:p w14:paraId="564A75B7" w14:textId="2A35E3A6" w:rsidR="001247D8" w:rsidRPr="001E36CE" w:rsidRDefault="001247D8" w:rsidP="00B31886">
      <w:pPr>
        <w:pStyle w:val="Bodytext20"/>
        <w:numPr>
          <w:ilvl w:val="0"/>
          <w:numId w:val="12"/>
        </w:numPr>
        <w:shd w:val="clear" w:color="auto" w:fill="auto"/>
        <w:tabs>
          <w:tab w:val="left" w:pos="426"/>
        </w:tabs>
        <w:spacing w:before="0" w:after="120" w:line="240" w:lineRule="auto"/>
        <w:ind w:left="426" w:hanging="426"/>
        <w:jc w:val="both"/>
        <w:rPr>
          <w:sz w:val="24"/>
          <w:szCs w:val="24"/>
        </w:rPr>
      </w:pPr>
      <w:r w:rsidRPr="001247D8">
        <w:rPr>
          <w:sz w:val="24"/>
          <w:szCs w:val="24"/>
        </w:rPr>
        <w:t xml:space="preserve">Konsolidācijā iesaistītajām iestādēm </w:t>
      </w:r>
      <w:r w:rsidR="00A84C07">
        <w:rPr>
          <w:sz w:val="24"/>
          <w:szCs w:val="24"/>
        </w:rPr>
        <w:t>gada pārskata iesniegšanas termiņ</w:t>
      </w:r>
      <w:r w:rsidR="001E36CE">
        <w:rPr>
          <w:sz w:val="24"/>
          <w:szCs w:val="24"/>
        </w:rPr>
        <w:t>u</w:t>
      </w:r>
      <w:r w:rsidR="00A84C07">
        <w:rPr>
          <w:sz w:val="24"/>
          <w:szCs w:val="24"/>
        </w:rPr>
        <w:t xml:space="preserve"> </w:t>
      </w:r>
      <w:r w:rsidR="005E749A">
        <w:rPr>
          <w:sz w:val="24"/>
          <w:szCs w:val="24"/>
        </w:rPr>
        <w:t>nosak</w:t>
      </w:r>
      <w:r w:rsidR="001E36CE">
        <w:rPr>
          <w:sz w:val="24"/>
          <w:szCs w:val="24"/>
        </w:rPr>
        <w:t>a</w:t>
      </w:r>
      <w:r w:rsidR="005E749A">
        <w:rPr>
          <w:sz w:val="24"/>
          <w:szCs w:val="24"/>
        </w:rPr>
        <w:t xml:space="preserve"> </w:t>
      </w:r>
      <w:r w:rsidR="00DF2B9E">
        <w:rPr>
          <w:sz w:val="24"/>
          <w:szCs w:val="24"/>
        </w:rPr>
        <w:t xml:space="preserve">ar </w:t>
      </w:r>
      <w:r w:rsidR="001E36CE">
        <w:rPr>
          <w:sz w:val="24"/>
          <w:szCs w:val="24"/>
        </w:rPr>
        <w:t xml:space="preserve">pašvaldības </w:t>
      </w:r>
      <w:r w:rsidR="00DF2B9E">
        <w:rPr>
          <w:sz w:val="24"/>
          <w:szCs w:val="24"/>
        </w:rPr>
        <w:t>rīkojumu.</w:t>
      </w:r>
    </w:p>
    <w:p w14:paraId="101C4CDB" w14:textId="706B2E5E" w:rsidR="0051251A" w:rsidRPr="001E36CE" w:rsidRDefault="0043475D" w:rsidP="00B31886">
      <w:pPr>
        <w:pStyle w:val="Bodytext20"/>
        <w:numPr>
          <w:ilvl w:val="0"/>
          <w:numId w:val="2"/>
        </w:numPr>
        <w:shd w:val="clear" w:color="auto" w:fill="auto"/>
        <w:tabs>
          <w:tab w:val="left" w:pos="426"/>
        </w:tabs>
        <w:spacing w:before="0" w:after="120" w:line="240" w:lineRule="auto"/>
        <w:ind w:left="426" w:hanging="426"/>
        <w:rPr>
          <w:sz w:val="24"/>
          <w:szCs w:val="24"/>
        </w:rPr>
      </w:pPr>
      <w:r w:rsidRPr="00881BC5">
        <w:rPr>
          <w:rFonts w:eastAsia="Calibri"/>
          <w:b/>
          <w:sz w:val="24"/>
          <w:szCs w:val="24"/>
          <w:lang w:eastAsia="lv-LV"/>
        </w:rPr>
        <w:t>Konsolid</w:t>
      </w:r>
      <w:r w:rsidR="00E03810" w:rsidRPr="00881BC5">
        <w:rPr>
          <w:rFonts w:eastAsia="Calibri"/>
          <w:b/>
          <w:sz w:val="24"/>
          <w:szCs w:val="24"/>
          <w:lang w:eastAsia="lv-LV"/>
        </w:rPr>
        <w:t>ētais pārskats</w:t>
      </w:r>
    </w:p>
    <w:p w14:paraId="49516C3E" w14:textId="30B4260C" w:rsidR="001E1271" w:rsidRPr="00881BC5" w:rsidRDefault="001E1271"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Konsolidētajā gada pārskatā iekļauj konsolidācijā iesaistīto budžeta iestāžu gada pārskatus.</w:t>
      </w:r>
    </w:p>
    <w:p w14:paraId="25FE461B" w14:textId="0C13ABD9" w:rsidR="00FF0F3D" w:rsidRPr="00881BC5" w:rsidRDefault="0039734A"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Konsolidētais gada pārskats kā vienots kopums ietver dokumentus un apliecinājumu par gada pārskatā sniegtās informācijas patiesumu</w:t>
      </w:r>
      <w:r w:rsidR="007F0A23" w:rsidRPr="00881BC5">
        <w:rPr>
          <w:rFonts w:ascii="Times New Roman" w:eastAsia="Calibri" w:hAnsi="Times New Roman" w:cs="Times New Roman"/>
          <w:sz w:val="24"/>
          <w:szCs w:val="24"/>
          <w:lang w:eastAsia="lv-LV"/>
        </w:rPr>
        <w:t>.</w:t>
      </w:r>
      <w:r w:rsidR="00FF0F3D" w:rsidRPr="00881BC5">
        <w:rPr>
          <w:rFonts w:ascii="Times New Roman" w:eastAsia="Calibri" w:hAnsi="Times New Roman" w:cs="Times New Roman"/>
          <w:sz w:val="24"/>
          <w:szCs w:val="24"/>
          <w:lang w:eastAsia="lv-LV"/>
        </w:rPr>
        <w:t xml:space="preserve"> </w:t>
      </w:r>
    </w:p>
    <w:p w14:paraId="69B45C7A" w14:textId="5222462E" w:rsidR="008367DB" w:rsidRPr="00881BC5" w:rsidRDefault="008367D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Iestādes gada pārskatu iekļauj pašvaldības konsolidētajā gada pārskatā, sākot ar to dienu, kurā šī iestāde kļuvusi par pašvaldības padotības iestādi. Iestādes gada pārskatu izslēdz no iekļaušanas pašvaldības konsolidētajā gada pārskatā, sākot ar to dienu, kurā šī iestāde reorganizēta, mainīta tās padotība vai tā ir likvidēta.</w:t>
      </w:r>
    </w:p>
    <w:p w14:paraId="07EB2CEE" w14:textId="7D098E26" w:rsidR="008367DB" w:rsidRPr="00881BC5" w:rsidRDefault="008367D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Konsolidācijā iesaistīto iestāžu gada pārskatus sagatavo uz vienu un to pašu pārskata datumu.</w:t>
      </w:r>
    </w:p>
    <w:p w14:paraId="729F362C" w14:textId="5413088A" w:rsidR="008367DB" w:rsidRPr="00881BC5" w:rsidRDefault="008367D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Konsolidācijā iesaistītās iestādes gada pārskata sagatavošanā ievēro pašvaldības vienoto gada pārskata sagatavošanas kārtību, grāmatvedības uzskaites kārtību un kontu plānu.</w:t>
      </w:r>
    </w:p>
    <w:p w14:paraId="793B8972" w14:textId="6614DCE3" w:rsidR="0005485C" w:rsidRPr="00881BC5" w:rsidRDefault="001F62AB"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 xml:space="preserve">Konsolidācijā </w:t>
      </w:r>
      <w:r w:rsidR="00811BCB" w:rsidRPr="00881BC5">
        <w:rPr>
          <w:rFonts w:ascii="Times New Roman" w:hAnsi="Times New Roman" w:cs="Times New Roman"/>
          <w:sz w:val="24"/>
          <w:szCs w:val="24"/>
        </w:rPr>
        <w:t xml:space="preserve">apvieno </w:t>
      </w:r>
      <w:r w:rsidRPr="00881BC5">
        <w:rPr>
          <w:rFonts w:ascii="Times New Roman" w:hAnsi="Times New Roman" w:cs="Times New Roman"/>
          <w:sz w:val="24"/>
          <w:szCs w:val="24"/>
        </w:rPr>
        <w:t>iesaistīto iestāžu finanšu pārskatā attiecīgajos posteņos norādītās aktīvu, saistību, pašu kapitāla, ieņēmumu un izdevumu (izmaksu) summas, tas ir, veido kopsavilkumu, kas aptver vienādu posteņu summēšanu;</w:t>
      </w:r>
      <w:r w:rsidR="00811BCB" w:rsidRPr="00881BC5">
        <w:rPr>
          <w:rFonts w:ascii="Times New Roman" w:hAnsi="Times New Roman" w:cs="Times New Roman"/>
          <w:sz w:val="24"/>
          <w:szCs w:val="24"/>
        </w:rPr>
        <w:t xml:space="preserve"> koriģē iestāžu finanšu pārskatu datus, kuri sagatavoti, piemērojot atšķirīgas grāmatvedības uzskaites metodes un atšķirīgus novērtēšanas principus. Par korekciju summu attiecīgi palielina vai samazina augstākās iestādes bilances posteņu vērtību un koriģē attiecīgos posteņus; izslēdz visas konsolidācijā iesaistīto iestāžu savstarpējo darījumu rezultātu un atbilstošo bilances posteņu summas, tas ir, veido informāciju par konsolidācijas posteņiem, kurā norāda posteni un summu, kuru konsolidē; koriģē finanšu pārskatu par konsolidācijā iesaistīto iestāžu koriģējošiem </w:t>
      </w:r>
      <w:r w:rsidR="00811BCB" w:rsidRPr="00881BC5">
        <w:rPr>
          <w:rFonts w:ascii="Times New Roman" w:hAnsi="Times New Roman" w:cs="Times New Roman"/>
          <w:sz w:val="24"/>
          <w:szCs w:val="24"/>
        </w:rPr>
        <w:lastRenderedPageBreak/>
        <w:t>notikumiem pēc bilances datuma un sniedz informāciju par būtiskiem un nozīmīgiem nekoriģējošiem notikumiem pēc bilances datuma līdz datumam, kad konsolidētais gada pārskats apstiprināts publiskošanai;</w:t>
      </w:r>
      <w:r w:rsidR="00025DE9" w:rsidRPr="00881BC5">
        <w:rPr>
          <w:rFonts w:ascii="Times New Roman" w:hAnsi="Times New Roman" w:cs="Times New Roman"/>
          <w:sz w:val="24"/>
          <w:szCs w:val="24"/>
        </w:rPr>
        <w:t xml:space="preserve"> veido konsolidēto finanšu pārskatu, kas aptver kopsavilkuma, konsolidācijas un korekciju posteņu izklāsta datu summēšanu.</w:t>
      </w:r>
    </w:p>
    <w:p w14:paraId="496ADDA3" w14:textId="2565532D" w:rsidR="001133F8" w:rsidRPr="00881BC5" w:rsidRDefault="001133F8" w:rsidP="001E36CE">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Konsolidācijā iesaistīto iestāžu budžeta izpildes pārskatus apvieno viena budžeta ietvarā iesaistīto iestāžu budžeta izpildes pārskatā attiecīgajos posteņos norādītās ieņēmumu, izdevumu un finansēšanas summas, tas ir, veido kopsavilkumu, kas aptver vienādu posteņu summēšanu;</w:t>
      </w:r>
      <w:r w:rsidR="00775BE9" w:rsidRPr="00881BC5">
        <w:rPr>
          <w:rFonts w:ascii="Times New Roman" w:hAnsi="Times New Roman" w:cs="Times New Roman"/>
          <w:sz w:val="24"/>
          <w:szCs w:val="24"/>
        </w:rPr>
        <w:t xml:space="preserve"> iestāde, kas veic konsolidāciju, koriģē iestāžu budžeta izpildes pārskatu datus, kuri sagatavoti, piemērojot atšķirīgas grāmatvedības un budžeta izpildes uzskaites metodes un atšķirīgus novērtēšanas principus. Par korekciju summu attiecīgi palielina vai samazina attiecīgos budžeta izpildes posteņus</w:t>
      </w:r>
      <w:r w:rsidR="00612F64">
        <w:rPr>
          <w:rFonts w:ascii="Times New Roman" w:hAnsi="Times New Roman" w:cs="Times New Roman"/>
          <w:sz w:val="24"/>
          <w:szCs w:val="24"/>
        </w:rPr>
        <w:t>.</w:t>
      </w:r>
    </w:p>
    <w:p w14:paraId="64AAF8D1" w14:textId="0A2461B2" w:rsidR="001247D8" w:rsidRPr="001E36CE" w:rsidRDefault="005568C1" w:rsidP="00B31886">
      <w:pPr>
        <w:numPr>
          <w:ilvl w:val="0"/>
          <w:numId w:val="12"/>
        </w:numPr>
        <w:spacing w:after="120" w:line="240" w:lineRule="auto"/>
        <w:ind w:left="426" w:right="-1" w:hanging="426"/>
        <w:jc w:val="both"/>
        <w:rPr>
          <w:rFonts w:ascii="Times New Roman" w:eastAsia="Calibri" w:hAnsi="Times New Roman" w:cs="Times New Roman"/>
          <w:sz w:val="24"/>
          <w:szCs w:val="24"/>
          <w:lang w:eastAsia="lv-LV"/>
        </w:rPr>
      </w:pPr>
      <w:r w:rsidRPr="00881BC5">
        <w:rPr>
          <w:rFonts w:ascii="Times New Roman" w:hAnsi="Times New Roman" w:cs="Times New Roman"/>
          <w:sz w:val="24"/>
          <w:szCs w:val="24"/>
        </w:rPr>
        <w:t>Izslēdz pārskata perioda konsolidācijā iesaistīto iestāžu savstarpējos darījumus (ieņēmumi, izdevumi, finansēšana) un transfertus pa budžeta veidiem, tas ir, veido konsolidācijas posteņu izklāstu, kurā norāda posteni un summu, kuru konsolidē</w:t>
      </w:r>
      <w:r w:rsidR="00612F64">
        <w:rPr>
          <w:rFonts w:ascii="Times New Roman" w:hAnsi="Times New Roman" w:cs="Times New Roman"/>
          <w:sz w:val="24"/>
          <w:szCs w:val="24"/>
        </w:rPr>
        <w:t>.</w:t>
      </w:r>
    </w:p>
    <w:p w14:paraId="2FE90CC8" w14:textId="30C49A25" w:rsidR="007F0A23" w:rsidRPr="00881BC5" w:rsidRDefault="007F0A23" w:rsidP="001E36CE">
      <w:pPr>
        <w:spacing w:after="120" w:line="240" w:lineRule="auto"/>
        <w:ind w:left="426" w:right="-1" w:hanging="426"/>
        <w:jc w:val="center"/>
        <w:rPr>
          <w:rFonts w:ascii="Times New Roman" w:eastAsia="Calibri" w:hAnsi="Times New Roman" w:cs="Times New Roman"/>
          <w:b/>
          <w:sz w:val="24"/>
          <w:szCs w:val="24"/>
          <w:lang w:eastAsia="lv-LV"/>
        </w:rPr>
      </w:pPr>
      <w:r w:rsidRPr="00881BC5">
        <w:rPr>
          <w:rFonts w:ascii="Times New Roman" w:eastAsia="Calibri" w:hAnsi="Times New Roman" w:cs="Times New Roman"/>
          <w:b/>
          <w:sz w:val="24"/>
          <w:szCs w:val="24"/>
          <w:lang w:eastAsia="lv-LV"/>
        </w:rPr>
        <w:t>V</w:t>
      </w:r>
      <w:r w:rsidR="004D5A5A" w:rsidRPr="00881BC5">
        <w:rPr>
          <w:rFonts w:ascii="Times New Roman" w:eastAsia="Calibri" w:hAnsi="Times New Roman" w:cs="Times New Roman"/>
          <w:b/>
          <w:sz w:val="24"/>
          <w:szCs w:val="24"/>
          <w:lang w:eastAsia="lv-LV"/>
        </w:rPr>
        <w:t>I</w:t>
      </w:r>
      <w:r w:rsidRPr="00881BC5">
        <w:rPr>
          <w:rFonts w:ascii="Times New Roman" w:eastAsia="Calibri" w:hAnsi="Times New Roman" w:cs="Times New Roman"/>
          <w:b/>
          <w:sz w:val="24"/>
          <w:szCs w:val="24"/>
          <w:lang w:eastAsia="lv-LV"/>
        </w:rPr>
        <w:t xml:space="preserve">. </w:t>
      </w:r>
      <w:r w:rsidR="00E03810" w:rsidRPr="00881BC5">
        <w:rPr>
          <w:rFonts w:ascii="Times New Roman" w:eastAsia="Calibri" w:hAnsi="Times New Roman" w:cs="Times New Roman"/>
          <w:b/>
          <w:sz w:val="24"/>
          <w:szCs w:val="24"/>
          <w:lang w:eastAsia="lv-LV"/>
        </w:rPr>
        <w:t>Noslēguma jautājum</w:t>
      </w:r>
      <w:r w:rsidR="001E36CE">
        <w:rPr>
          <w:rFonts w:ascii="Times New Roman" w:eastAsia="Calibri" w:hAnsi="Times New Roman" w:cs="Times New Roman"/>
          <w:b/>
          <w:sz w:val="24"/>
          <w:szCs w:val="24"/>
          <w:lang w:eastAsia="lv-LV"/>
        </w:rPr>
        <w:t>s</w:t>
      </w:r>
    </w:p>
    <w:p w14:paraId="6BF7E325" w14:textId="676B685D" w:rsidR="00EC7FAC" w:rsidRPr="00881BC5" w:rsidRDefault="00EC7FAC" w:rsidP="00B31886">
      <w:pPr>
        <w:pStyle w:val="Sarakstarindkopa"/>
        <w:numPr>
          <w:ilvl w:val="0"/>
          <w:numId w:val="12"/>
        </w:numPr>
        <w:spacing w:after="120" w:line="240" w:lineRule="auto"/>
        <w:ind w:left="426" w:right="-1" w:hanging="426"/>
        <w:contextualSpacing w:val="0"/>
        <w:jc w:val="both"/>
        <w:rPr>
          <w:rFonts w:ascii="Times New Roman" w:eastAsia="Calibri" w:hAnsi="Times New Roman" w:cs="Times New Roman"/>
          <w:sz w:val="24"/>
          <w:szCs w:val="24"/>
          <w:lang w:eastAsia="lv-LV"/>
        </w:rPr>
      </w:pPr>
      <w:r w:rsidRPr="00881BC5">
        <w:rPr>
          <w:rFonts w:ascii="Times New Roman" w:eastAsia="Times New Roman" w:hAnsi="Times New Roman" w:cs="Times New Roman"/>
          <w:sz w:val="24"/>
          <w:szCs w:val="24"/>
          <w:lang w:eastAsia="lv-LV"/>
        </w:rPr>
        <w:t xml:space="preserve">Ar šo noteikumu parakstīšanu spēku zaudē </w:t>
      </w:r>
      <w:r w:rsidR="00F67BE1" w:rsidRPr="00881BC5">
        <w:rPr>
          <w:rFonts w:ascii="Times New Roman" w:eastAsia="Times New Roman" w:hAnsi="Times New Roman" w:cs="Times New Roman"/>
          <w:sz w:val="24"/>
          <w:szCs w:val="24"/>
          <w:lang w:eastAsia="lv-LV"/>
        </w:rPr>
        <w:t>Carnikavas</w:t>
      </w:r>
      <w:r w:rsidRPr="00881BC5">
        <w:rPr>
          <w:rFonts w:ascii="Times New Roman" w:eastAsia="Times New Roman" w:hAnsi="Times New Roman" w:cs="Times New Roman"/>
          <w:sz w:val="24"/>
          <w:szCs w:val="24"/>
          <w:lang w:eastAsia="lv-LV"/>
        </w:rPr>
        <w:t xml:space="preserve"> novada domes 20</w:t>
      </w:r>
      <w:r w:rsidR="00F67BE1" w:rsidRPr="00881BC5">
        <w:rPr>
          <w:rFonts w:ascii="Times New Roman" w:eastAsia="Times New Roman" w:hAnsi="Times New Roman" w:cs="Times New Roman"/>
          <w:sz w:val="24"/>
          <w:szCs w:val="24"/>
          <w:lang w:eastAsia="lv-LV"/>
        </w:rPr>
        <w:t>20</w:t>
      </w:r>
      <w:r w:rsidRPr="00881BC5">
        <w:rPr>
          <w:rFonts w:ascii="Times New Roman" w:eastAsia="Times New Roman" w:hAnsi="Times New Roman" w:cs="Times New Roman"/>
          <w:sz w:val="24"/>
          <w:szCs w:val="24"/>
          <w:lang w:eastAsia="lv-LV"/>
        </w:rPr>
        <w:t>. gada 2</w:t>
      </w:r>
      <w:r w:rsidR="00F67BE1" w:rsidRPr="00881BC5">
        <w:rPr>
          <w:rFonts w:ascii="Times New Roman" w:eastAsia="Times New Roman" w:hAnsi="Times New Roman" w:cs="Times New Roman"/>
          <w:sz w:val="24"/>
          <w:szCs w:val="24"/>
          <w:lang w:eastAsia="lv-LV"/>
        </w:rPr>
        <w:t>3.</w:t>
      </w:r>
      <w:r w:rsidR="00B127B8" w:rsidRPr="00881BC5">
        <w:rPr>
          <w:rFonts w:ascii="Times New Roman" w:eastAsia="Times New Roman" w:hAnsi="Times New Roman" w:cs="Times New Roman"/>
          <w:sz w:val="24"/>
          <w:szCs w:val="24"/>
          <w:lang w:eastAsia="lv-LV"/>
        </w:rPr>
        <w:t xml:space="preserve"> </w:t>
      </w:r>
      <w:r w:rsidR="00F67BE1" w:rsidRPr="00881BC5">
        <w:rPr>
          <w:rFonts w:ascii="Times New Roman" w:eastAsia="Times New Roman" w:hAnsi="Times New Roman" w:cs="Times New Roman"/>
          <w:sz w:val="24"/>
          <w:szCs w:val="24"/>
          <w:lang w:eastAsia="lv-LV"/>
        </w:rPr>
        <w:t>janvāra</w:t>
      </w:r>
      <w:r w:rsidRPr="00881BC5">
        <w:rPr>
          <w:rFonts w:ascii="Times New Roman" w:eastAsia="Times New Roman" w:hAnsi="Times New Roman" w:cs="Times New Roman"/>
          <w:sz w:val="24"/>
          <w:szCs w:val="24"/>
          <w:lang w:eastAsia="lv-LV"/>
        </w:rPr>
        <w:t xml:space="preserve"> noteikumi Nr. </w:t>
      </w:r>
      <w:r w:rsidR="00B127B8" w:rsidRPr="00881BC5">
        <w:rPr>
          <w:rFonts w:ascii="Times New Roman" w:eastAsia="Times New Roman" w:hAnsi="Times New Roman" w:cs="Times New Roman"/>
          <w:sz w:val="24"/>
          <w:szCs w:val="24"/>
          <w:lang w:eastAsia="lv-LV"/>
        </w:rPr>
        <w:t>INA/2020/6</w:t>
      </w:r>
      <w:r w:rsidRPr="00881BC5">
        <w:rPr>
          <w:rFonts w:ascii="Times New Roman" w:eastAsia="Times New Roman" w:hAnsi="Times New Roman" w:cs="Times New Roman"/>
          <w:sz w:val="24"/>
          <w:szCs w:val="24"/>
          <w:lang w:eastAsia="lv-LV"/>
        </w:rPr>
        <w:t xml:space="preserve"> “</w:t>
      </w:r>
      <w:r w:rsidR="00B127B8" w:rsidRPr="00881BC5">
        <w:rPr>
          <w:rFonts w:ascii="Times New Roman" w:eastAsia="Times New Roman" w:hAnsi="Times New Roman" w:cs="Times New Roman"/>
          <w:sz w:val="24"/>
          <w:szCs w:val="24"/>
          <w:lang w:eastAsia="lv-LV"/>
        </w:rPr>
        <w:t>Carnikavas novada pašvaldības konsolidētā gada pārskata sagatavošanas kārtība</w:t>
      </w:r>
      <w:r w:rsidRPr="00881BC5">
        <w:rPr>
          <w:rFonts w:ascii="Times New Roman" w:eastAsia="Times New Roman" w:hAnsi="Times New Roman" w:cs="Times New Roman"/>
          <w:sz w:val="24"/>
          <w:szCs w:val="24"/>
          <w:lang w:eastAsia="lv-LV"/>
        </w:rPr>
        <w:t>”.</w:t>
      </w:r>
    </w:p>
    <w:p w14:paraId="72AE06F5" w14:textId="77777777" w:rsidR="007F0A23" w:rsidRPr="00881BC5" w:rsidRDefault="007F0A23" w:rsidP="0049136D">
      <w:pPr>
        <w:spacing w:after="0" w:line="240" w:lineRule="auto"/>
        <w:ind w:right="-1"/>
        <w:rPr>
          <w:rFonts w:ascii="Times New Roman" w:eastAsia="Times New Roman" w:hAnsi="Times New Roman" w:cs="Times New Roman"/>
          <w:sz w:val="24"/>
          <w:szCs w:val="24"/>
          <w:lang w:eastAsia="lv-LV"/>
        </w:rPr>
      </w:pPr>
    </w:p>
    <w:p w14:paraId="194DC72A" w14:textId="77777777" w:rsidR="007F0A23" w:rsidRPr="00881BC5" w:rsidRDefault="007F0A23" w:rsidP="0049136D">
      <w:pPr>
        <w:spacing w:after="0" w:line="240" w:lineRule="auto"/>
        <w:ind w:right="-1"/>
        <w:rPr>
          <w:rFonts w:ascii="Times New Roman" w:eastAsia="Times New Roman" w:hAnsi="Times New Roman" w:cs="Times New Roman"/>
          <w:sz w:val="24"/>
          <w:szCs w:val="24"/>
          <w:lang w:eastAsia="lv-LV"/>
        </w:rPr>
      </w:pPr>
    </w:p>
    <w:p w14:paraId="57DE47EF" w14:textId="77777777" w:rsidR="007F0A23" w:rsidRPr="00881BC5" w:rsidRDefault="007F0A23" w:rsidP="0049136D">
      <w:pPr>
        <w:spacing w:after="0" w:line="240" w:lineRule="auto"/>
        <w:ind w:right="-1"/>
        <w:rPr>
          <w:rFonts w:ascii="Times New Roman" w:eastAsia="Times New Roman" w:hAnsi="Times New Roman" w:cs="Times New Roman"/>
          <w:sz w:val="24"/>
          <w:szCs w:val="24"/>
          <w:lang w:eastAsia="lv-LV"/>
        </w:rPr>
      </w:pPr>
    </w:p>
    <w:p w14:paraId="34A95520" w14:textId="6F9B81B7" w:rsidR="007F0A23" w:rsidRPr="00881BC5" w:rsidRDefault="002B409D" w:rsidP="004C0F43">
      <w:pPr>
        <w:spacing w:after="0" w:line="240" w:lineRule="auto"/>
        <w:ind w:right="-1"/>
        <w:rPr>
          <w:rFonts w:ascii="Times New Roman" w:hAnsi="Times New Roman" w:cs="Times New Roman"/>
          <w:sz w:val="24"/>
          <w:szCs w:val="24"/>
        </w:rPr>
      </w:pPr>
      <w:r w:rsidRPr="00881BC5">
        <w:rPr>
          <w:rFonts w:ascii="Times New Roman" w:eastAsia="Times New Roman" w:hAnsi="Times New Roman" w:cs="Times New Roman"/>
          <w:sz w:val="24"/>
          <w:szCs w:val="24"/>
          <w:lang w:eastAsia="lv-LV"/>
        </w:rPr>
        <w:t>Pašvaldības d</w:t>
      </w:r>
      <w:r w:rsidR="007F0A23" w:rsidRPr="00881BC5">
        <w:rPr>
          <w:rFonts w:ascii="Times New Roman" w:eastAsia="Times New Roman" w:hAnsi="Times New Roman" w:cs="Times New Roman"/>
          <w:sz w:val="24"/>
          <w:szCs w:val="24"/>
          <w:lang w:eastAsia="lv-LV"/>
        </w:rPr>
        <w:t>omes priekšsēdētāj</w:t>
      </w:r>
      <w:r w:rsidR="00881BC5" w:rsidRPr="00881BC5">
        <w:rPr>
          <w:rFonts w:ascii="Times New Roman" w:eastAsia="Times New Roman" w:hAnsi="Times New Roman" w:cs="Times New Roman"/>
          <w:sz w:val="24"/>
          <w:szCs w:val="24"/>
          <w:lang w:eastAsia="lv-LV"/>
        </w:rPr>
        <w:t>a</w:t>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7F0A23" w:rsidRPr="00881BC5">
        <w:rPr>
          <w:rFonts w:ascii="Times New Roman" w:eastAsia="Times New Roman" w:hAnsi="Times New Roman" w:cs="Times New Roman"/>
          <w:sz w:val="24"/>
          <w:szCs w:val="24"/>
          <w:lang w:eastAsia="lv-LV"/>
        </w:rPr>
        <w:tab/>
      </w:r>
      <w:r w:rsidR="00881BC5" w:rsidRPr="00881BC5">
        <w:rPr>
          <w:rFonts w:ascii="Times New Roman" w:eastAsia="Times New Roman" w:hAnsi="Times New Roman" w:cs="Times New Roman"/>
          <w:sz w:val="24"/>
          <w:szCs w:val="24"/>
          <w:lang w:eastAsia="lv-LV"/>
        </w:rPr>
        <w:t>K.</w:t>
      </w:r>
      <w:r w:rsidR="00DA3424">
        <w:rPr>
          <w:rFonts w:ascii="Times New Roman" w:eastAsia="Times New Roman" w:hAnsi="Times New Roman" w:cs="Times New Roman"/>
          <w:sz w:val="24"/>
          <w:szCs w:val="24"/>
          <w:lang w:eastAsia="lv-LV"/>
        </w:rPr>
        <w:t xml:space="preserve"> </w:t>
      </w:r>
      <w:r w:rsidR="00881BC5" w:rsidRPr="00881BC5">
        <w:rPr>
          <w:rFonts w:ascii="Times New Roman" w:eastAsia="Times New Roman" w:hAnsi="Times New Roman" w:cs="Times New Roman"/>
          <w:sz w:val="24"/>
          <w:szCs w:val="24"/>
          <w:lang w:eastAsia="lv-LV"/>
        </w:rPr>
        <w:t>Miķelsone</w:t>
      </w:r>
    </w:p>
    <w:sectPr w:rsidR="007F0A23" w:rsidRPr="00881BC5" w:rsidSect="00433B67">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76FCE" w14:textId="77777777" w:rsidR="00F719F4" w:rsidRDefault="00F719F4" w:rsidP="00263FC2">
      <w:pPr>
        <w:spacing w:after="0" w:line="240" w:lineRule="auto"/>
      </w:pPr>
      <w:r>
        <w:separator/>
      </w:r>
    </w:p>
  </w:endnote>
  <w:endnote w:type="continuationSeparator" w:id="0">
    <w:p w14:paraId="1F8E9B96" w14:textId="77777777" w:rsidR="00F719F4" w:rsidRDefault="00F719F4" w:rsidP="0026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970534"/>
      <w:docPartObj>
        <w:docPartGallery w:val="Page Numbers (Bottom of Page)"/>
        <w:docPartUnique/>
      </w:docPartObj>
    </w:sdtPr>
    <w:sdtEndPr>
      <w:rPr>
        <w:rFonts w:ascii="Times New Roman" w:hAnsi="Times New Roman" w:cs="Times New Roman"/>
        <w:sz w:val="24"/>
        <w:szCs w:val="24"/>
      </w:rPr>
    </w:sdtEndPr>
    <w:sdtContent>
      <w:p w14:paraId="1E6F42DB" w14:textId="2B0E6FE8" w:rsidR="00263FC2" w:rsidRPr="0049136D" w:rsidRDefault="00263FC2" w:rsidP="004C0F43">
        <w:pPr>
          <w:pStyle w:val="Kjene"/>
          <w:jc w:val="right"/>
          <w:rPr>
            <w:rFonts w:ascii="Times New Roman" w:hAnsi="Times New Roman" w:cs="Times New Roman"/>
            <w:sz w:val="24"/>
            <w:szCs w:val="24"/>
          </w:rPr>
        </w:pPr>
        <w:r w:rsidRPr="0049136D">
          <w:rPr>
            <w:rFonts w:ascii="Times New Roman" w:hAnsi="Times New Roman" w:cs="Times New Roman"/>
            <w:sz w:val="24"/>
            <w:szCs w:val="24"/>
          </w:rPr>
          <w:fldChar w:fldCharType="begin"/>
        </w:r>
        <w:r w:rsidRPr="0049136D">
          <w:rPr>
            <w:rFonts w:ascii="Times New Roman" w:hAnsi="Times New Roman" w:cs="Times New Roman"/>
            <w:sz w:val="24"/>
            <w:szCs w:val="24"/>
          </w:rPr>
          <w:instrText>PAGE   \* MERGEFORMAT</w:instrText>
        </w:r>
        <w:r w:rsidRPr="0049136D">
          <w:rPr>
            <w:rFonts w:ascii="Times New Roman" w:hAnsi="Times New Roman" w:cs="Times New Roman"/>
            <w:sz w:val="24"/>
            <w:szCs w:val="24"/>
          </w:rPr>
          <w:fldChar w:fldCharType="separate"/>
        </w:r>
        <w:r w:rsidRPr="0049136D">
          <w:rPr>
            <w:rFonts w:ascii="Times New Roman" w:hAnsi="Times New Roman" w:cs="Times New Roman"/>
            <w:sz w:val="24"/>
            <w:szCs w:val="24"/>
          </w:rPr>
          <w:t>2</w:t>
        </w:r>
        <w:r w:rsidRPr="0049136D">
          <w:rPr>
            <w:rFonts w:ascii="Times New Roman" w:hAnsi="Times New Roman" w:cs="Times New Roman"/>
            <w:sz w:val="24"/>
            <w:szCs w:val="24"/>
          </w:rPr>
          <w:fldChar w:fldCharType="end"/>
        </w:r>
      </w:p>
    </w:sdtContent>
  </w:sdt>
  <w:p w14:paraId="21ECE551" w14:textId="77777777" w:rsidR="00263FC2" w:rsidRDefault="00263F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642A7" w14:textId="77777777" w:rsidR="00F719F4" w:rsidRDefault="00F719F4" w:rsidP="00263FC2">
      <w:pPr>
        <w:spacing w:after="0" w:line="240" w:lineRule="auto"/>
      </w:pPr>
      <w:r>
        <w:separator/>
      </w:r>
    </w:p>
  </w:footnote>
  <w:footnote w:type="continuationSeparator" w:id="0">
    <w:p w14:paraId="78F0BF27" w14:textId="77777777" w:rsidR="00F719F4" w:rsidRDefault="00F719F4" w:rsidP="00263F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2C74"/>
    <w:multiLevelType w:val="multilevel"/>
    <w:tmpl w:val="39DAC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7117B"/>
    <w:multiLevelType w:val="multilevel"/>
    <w:tmpl w:val="FD6E287A"/>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E5756"/>
    <w:multiLevelType w:val="hybridMultilevel"/>
    <w:tmpl w:val="198C8002"/>
    <w:lvl w:ilvl="0" w:tplc="BA887DCA">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972FB1"/>
    <w:multiLevelType w:val="hybridMultilevel"/>
    <w:tmpl w:val="CBB6A0E2"/>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2AF65A0D"/>
    <w:multiLevelType w:val="multilevel"/>
    <w:tmpl w:val="031A765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3423C6"/>
    <w:multiLevelType w:val="hybridMultilevel"/>
    <w:tmpl w:val="0C242744"/>
    <w:lvl w:ilvl="0" w:tplc="CCB6FAE8">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9361A3"/>
    <w:multiLevelType w:val="hybridMultilevel"/>
    <w:tmpl w:val="0D780F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E2C36DD"/>
    <w:multiLevelType w:val="multilevel"/>
    <w:tmpl w:val="10025FF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86967"/>
    <w:multiLevelType w:val="hybridMultilevel"/>
    <w:tmpl w:val="B6DC9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D5355C"/>
    <w:multiLevelType w:val="hybridMultilevel"/>
    <w:tmpl w:val="8EF48D9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70275A9B"/>
    <w:multiLevelType w:val="multilevel"/>
    <w:tmpl w:val="C706D6A2"/>
    <w:lvl w:ilvl="0">
      <w:start w:val="1"/>
      <w:numFmt w:val="decimal"/>
      <w:lvlText w:val="%1."/>
      <w:lvlJc w:val="left"/>
      <w:pPr>
        <w:ind w:left="644" w:hanging="360"/>
      </w:pPr>
      <w:rPr>
        <w:rFonts w:ascii="Times New Roman" w:hAnsi="Times New Roman" w:cs="Times New Roman" w:hint="default"/>
        <w:b w:val="0"/>
        <w:strike w:val="0"/>
        <w:color w:val="auto"/>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74B52E4"/>
    <w:multiLevelType w:val="hybridMultilevel"/>
    <w:tmpl w:val="51385CE8"/>
    <w:lvl w:ilvl="0" w:tplc="AA18D7EC">
      <w:start w:val="1"/>
      <w:numFmt w:val="decimal"/>
      <w:lvlText w:val="%1."/>
      <w:lvlJc w:val="left"/>
      <w:pPr>
        <w:ind w:left="1353" w:hanging="360"/>
      </w:pPr>
      <w:rPr>
        <w:rFonts w:ascii="Times New Roman" w:eastAsiaTheme="minorHAnsi"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121488727">
    <w:abstractNumId w:val="10"/>
  </w:num>
  <w:num w:numId="2" w16cid:durableId="929966006">
    <w:abstractNumId w:val="5"/>
  </w:num>
  <w:num w:numId="3" w16cid:durableId="684599804">
    <w:abstractNumId w:val="6"/>
  </w:num>
  <w:num w:numId="4" w16cid:durableId="302852847">
    <w:abstractNumId w:val="2"/>
  </w:num>
  <w:num w:numId="5" w16cid:durableId="2024746596">
    <w:abstractNumId w:val="7"/>
  </w:num>
  <w:num w:numId="6" w16cid:durableId="38628481">
    <w:abstractNumId w:val="9"/>
  </w:num>
  <w:num w:numId="7" w16cid:durableId="236981280">
    <w:abstractNumId w:val="0"/>
  </w:num>
  <w:num w:numId="8" w16cid:durableId="1192374369">
    <w:abstractNumId w:val="3"/>
  </w:num>
  <w:num w:numId="9" w16cid:durableId="1385327606">
    <w:abstractNumId w:val="4"/>
  </w:num>
  <w:num w:numId="10" w16cid:durableId="1290935579">
    <w:abstractNumId w:val="8"/>
  </w:num>
  <w:num w:numId="11" w16cid:durableId="39474588">
    <w:abstractNumId w:val="11"/>
  </w:num>
  <w:num w:numId="12" w16cid:durableId="1246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23"/>
    <w:rsid w:val="00001080"/>
    <w:rsid w:val="000126F0"/>
    <w:rsid w:val="00025DE9"/>
    <w:rsid w:val="00032A6C"/>
    <w:rsid w:val="00036F5C"/>
    <w:rsid w:val="0005485C"/>
    <w:rsid w:val="000629C6"/>
    <w:rsid w:val="000640B7"/>
    <w:rsid w:val="00073973"/>
    <w:rsid w:val="0007690D"/>
    <w:rsid w:val="00096120"/>
    <w:rsid w:val="000B2D33"/>
    <w:rsid w:val="000B4009"/>
    <w:rsid w:val="000C346F"/>
    <w:rsid w:val="000C62E3"/>
    <w:rsid w:val="00103FA9"/>
    <w:rsid w:val="001060FD"/>
    <w:rsid w:val="001102EE"/>
    <w:rsid w:val="001133F8"/>
    <w:rsid w:val="001247D8"/>
    <w:rsid w:val="00131E97"/>
    <w:rsid w:val="0013479E"/>
    <w:rsid w:val="00143D48"/>
    <w:rsid w:val="0014607E"/>
    <w:rsid w:val="00155758"/>
    <w:rsid w:val="00155D3C"/>
    <w:rsid w:val="00164A82"/>
    <w:rsid w:val="00170B14"/>
    <w:rsid w:val="0017672F"/>
    <w:rsid w:val="00195E17"/>
    <w:rsid w:val="001B3C75"/>
    <w:rsid w:val="001D1D19"/>
    <w:rsid w:val="001D78DE"/>
    <w:rsid w:val="001E1271"/>
    <w:rsid w:val="001E36CE"/>
    <w:rsid w:val="001E51CA"/>
    <w:rsid w:val="001E6281"/>
    <w:rsid w:val="001F62AB"/>
    <w:rsid w:val="001F68AA"/>
    <w:rsid w:val="00205953"/>
    <w:rsid w:val="0022091D"/>
    <w:rsid w:val="0022691E"/>
    <w:rsid w:val="00234AB8"/>
    <w:rsid w:val="002463C8"/>
    <w:rsid w:val="00250F0C"/>
    <w:rsid w:val="00263FC2"/>
    <w:rsid w:val="00265435"/>
    <w:rsid w:val="002665A5"/>
    <w:rsid w:val="00274B61"/>
    <w:rsid w:val="00292469"/>
    <w:rsid w:val="002A4955"/>
    <w:rsid w:val="002A634E"/>
    <w:rsid w:val="002B1B8C"/>
    <w:rsid w:val="002B38AE"/>
    <w:rsid w:val="002B409D"/>
    <w:rsid w:val="002D3AB4"/>
    <w:rsid w:val="002F7B1B"/>
    <w:rsid w:val="00306376"/>
    <w:rsid w:val="00312444"/>
    <w:rsid w:val="00313430"/>
    <w:rsid w:val="00323D67"/>
    <w:rsid w:val="00330A2F"/>
    <w:rsid w:val="00357521"/>
    <w:rsid w:val="0036546A"/>
    <w:rsid w:val="00370931"/>
    <w:rsid w:val="00371F3B"/>
    <w:rsid w:val="0037212E"/>
    <w:rsid w:val="00375530"/>
    <w:rsid w:val="0037726B"/>
    <w:rsid w:val="0039734A"/>
    <w:rsid w:val="003A0A6D"/>
    <w:rsid w:val="003B529A"/>
    <w:rsid w:val="003B7D4E"/>
    <w:rsid w:val="003B7F5F"/>
    <w:rsid w:val="0042280D"/>
    <w:rsid w:val="00424E1E"/>
    <w:rsid w:val="0043169B"/>
    <w:rsid w:val="00432848"/>
    <w:rsid w:val="00433B67"/>
    <w:rsid w:val="0043475D"/>
    <w:rsid w:val="00434920"/>
    <w:rsid w:val="00441A28"/>
    <w:rsid w:val="00461B33"/>
    <w:rsid w:val="0046734E"/>
    <w:rsid w:val="00467B82"/>
    <w:rsid w:val="00474C47"/>
    <w:rsid w:val="0049136D"/>
    <w:rsid w:val="004B059C"/>
    <w:rsid w:val="004B2D6F"/>
    <w:rsid w:val="004B4717"/>
    <w:rsid w:val="004B529E"/>
    <w:rsid w:val="004C0F43"/>
    <w:rsid w:val="004D5A5A"/>
    <w:rsid w:val="004E29E3"/>
    <w:rsid w:val="004E5AF1"/>
    <w:rsid w:val="0050784E"/>
    <w:rsid w:val="0051251A"/>
    <w:rsid w:val="00524C73"/>
    <w:rsid w:val="0053586D"/>
    <w:rsid w:val="00545930"/>
    <w:rsid w:val="005568C1"/>
    <w:rsid w:val="00571C70"/>
    <w:rsid w:val="00572DAC"/>
    <w:rsid w:val="005A51DA"/>
    <w:rsid w:val="005B49DE"/>
    <w:rsid w:val="005B5DF5"/>
    <w:rsid w:val="005C36A4"/>
    <w:rsid w:val="005C4FCF"/>
    <w:rsid w:val="005E5C77"/>
    <w:rsid w:val="005E6120"/>
    <w:rsid w:val="005E6DC7"/>
    <w:rsid w:val="005E749A"/>
    <w:rsid w:val="005F1D16"/>
    <w:rsid w:val="00600F75"/>
    <w:rsid w:val="00603395"/>
    <w:rsid w:val="00612F64"/>
    <w:rsid w:val="006143B4"/>
    <w:rsid w:val="006320C3"/>
    <w:rsid w:val="00632D4F"/>
    <w:rsid w:val="00641FF1"/>
    <w:rsid w:val="00660CED"/>
    <w:rsid w:val="00673B48"/>
    <w:rsid w:val="006F1345"/>
    <w:rsid w:val="006F4C61"/>
    <w:rsid w:val="00715CD1"/>
    <w:rsid w:val="007339CB"/>
    <w:rsid w:val="007620AA"/>
    <w:rsid w:val="00766446"/>
    <w:rsid w:val="00775BE9"/>
    <w:rsid w:val="0078164F"/>
    <w:rsid w:val="00783D42"/>
    <w:rsid w:val="00791C11"/>
    <w:rsid w:val="007A2EEF"/>
    <w:rsid w:val="007C0E11"/>
    <w:rsid w:val="007C616B"/>
    <w:rsid w:val="007D491E"/>
    <w:rsid w:val="007E55AD"/>
    <w:rsid w:val="007F0A23"/>
    <w:rsid w:val="007F42A3"/>
    <w:rsid w:val="007F70C6"/>
    <w:rsid w:val="00801885"/>
    <w:rsid w:val="008059A5"/>
    <w:rsid w:val="008065BD"/>
    <w:rsid w:val="00811BCB"/>
    <w:rsid w:val="0083083D"/>
    <w:rsid w:val="00835C8E"/>
    <w:rsid w:val="008367DB"/>
    <w:rsid w:val="00843D73"/>
    <w:rsid w:val="00856356"/>
    <w:rsid w:val="00861F35"/>
    <w:rsid w:val="008702DF"/>
    <w:rsid w:val="00873953"/>
    <w:rsid w:val="00873B69"/>
    <w:rsid w:val="008758DC"/>
    <w:rsid w:val="00881BC5"/>
    <w:rsid w:val="008933DB"/>
    <w:rsid w:val="00896713"/>
    <w:rsid w:val="008A0AFA"/>
    <w:rsid w:val="008A66EE"/>
    <w:rsid w:val="008B0D4F"/>
    <w:rsid w:val="008B6BA3"/>
    <w:rsid w:val="008C35EC"/>
    <w:rsid w:val="008C6CB8"/>
    <w:rsid w:val="008E01D1"/>
    <w:rsid w:val="008E202E"/>
    <w:rsid w:val="008E66BA"/>
    <w:rsid w:val="009055BA"/>
    <w:rsid w:val="00912E34"/>
    <w:rsid w:val="0091460E"/>
    <w:rsid w:val="00914AE2"/>
    <w:rsid w:val="00922756"/>
    <w:rsid w:val="0092535E"/>
    <w:rsid w:val="00926889"/>
    <w:rsid w:val="00930097"/>
    <w:rsid w:val="009312E5"/>
    <w:rsid w:val="0094032B"/>
    <w:rsid w:val="009404B3"/>
    <w:rsid w:val="009447E7"/>
    <w:rsid w:val="00946D62"/>
    <w:rsid w:val="009714D8"/>
    <w:rsid w:val="009738D6"/>
    <w:rsid w:val="00982927"/>
    <w:rsid w:val="0098521B"/>
    <w:rsid w:val="009879A3"/>
    <w:rsid w:val="0099426E"/>
    <w:rsid w:val="009A2608"/>
    <w:rsid w:val="009A5AD4"/>
    <w:rsid w:val="009B2700"/>
    <w:rsid w:val="009B35E8"/>
    <w:rsid w:val="009D0D2D"/>
    <w:rsid w:val="009D3560"/>
    <w:rsid w:val="00A047FF"/>
    <w:rsid w:val="00A16BC0"/>
    <w:rsid w:val="00A33939"/>
    <w:rsid w:val="00A366E9"/>
    <w:rsid w:val="00A41EBC"/>
    <w:rsid w:val="00A51BD6"/>
    <w:rsid w:val="00A5470E"/>
    <w:rsid w:val="00A6540C"/>
    <w:rsid w:val="00A664D7"/>
    <w:rsid w:val="00A833D6"/>
    <w:rsid w:val="00A84C07"/>
    <w:rsid w:val="00A92AC2"/>
    <w:rsid w:val="00A93AAD"/>
    <w:rsid w:val="00AA162C"/>
    <w:rsid w:val="00AB2EDE"/>
    <w:rsid w:val="00AB6B95"/>
    <w:rsid w:val="00AB6FEE"/>
    <w:rsid w:val="00AC03E8"/>
    <w:rsid w:val="00AC7995"/>
    <w:rsid w:val="00AE7C9E"/>
    <w:rsid w:val="00AF039D"/>
    <w:rsid w:val="00AF1719"/>
    <w:rsid w:val="00AF21F2"/>
    <w:rsid w:val="00B06354"/>
    <w:rsid w:val="00B122D9"/>
    <w:rsid w:val="00B127B8"/>
    <w:rsid w:val="00B12FF8"/>
    <w:rsid w:val="00B31886"/>
    <w:rsid w:val="00B323AC"/>
    <w:rsid w:val="00B554E2"/>
    <w:rsid w:val="00B62568"/>
    <w:rsid w:val="00B63533"/>
    <w:rsid w:val="00B707AE"/>
    <w:rsid w:val="00B7403B"/>
    <w:rsid w:val="00B7713F"/>
    <w:rsid w:val="00B87548"/>
    <w:rsid w:val="00B9574F"/>
    <w:rsid w:val="00BC2638"/>
    <w:rsid w:val="00BC296F"/>
    <w:rsid w:val="00BD1571"/>
    <w:rsid w:val="00C125C1"/>
    <w:rsid w:val="00C12EA0"/>
    <w:rsid w:val="00C177F3"/>
    <w:rsid w:val="00C30ACA"/>
    <w:rsid w:val="00C45187"/>
    <w:rsid w:val="00C47556"/>
    <w:rsid w:val="00C47A9E"/>
    <w:rsid w:val="00C6540B"/>
    <w:rsid w:val="00C65E93"/>
    <w:rsid w:val="00C74FD9"/>
    <w:rsid w:val="00C81374"/>
    <w:rsid w:val="00C82363"/>
    <w:rsid w:val="00C95C2F"/>
    <w:rsid w:val="00CA344B"/>
    <w:rsid w:val="00CB145F"/>
    <w:rsid w:val="00CB471B"/>
    <w:rsid w:val="00CB7499"/>
    <w:rsid w:val="00CC3E34"/>
    <w:rsid w:val="00CD6F31"/>
    <w:rsid w:val="00CE22CF"/>
    <w:rsid w:val="00CF0E83"/>
    <w:rsid w:val="00D07854"/>
    <w:rsid w:val="00D31EE4"/>
    <w:rsid w:val="00D503DD"/>
    <w:rsid w:val="00D54A5B"/>
    <w:rsid w:val="00D57DFA"/>
    <w:rsid w:val="00D77F5B"/>
    <w:rsid w:val="00D85F4D"/>
    <w:rsid w:val="00D86823"/>
    <w:rsid w:val="00DA3424"/>
    <w:rsid w:val="00DA7998"/>
    <w:rsid w:val="00DB04EE"/>
    <w:rsid w:val="00DB11A5"/>
    <w:rsid w:val="00DC0864"/>
    <w:rsid w:val="00DC1243"/>
    <w:rsid w:val="00DD0806"/>
    <w:rsid w:val="00DF298E"/>
    <w:rsid w:val="00DF2B9E"/>
    <w:rsid w:val="00E03810"/>
    <w:rsid w:val="00E0504A"/>
    <w:rsid w:val="00E2180B"/>
    <w:rsid w:val="00E32910"/>
    <w:rsid w:val="00E35392"/>
    <w:rsid w:val="00E4623F"/>
    <w:rsid w:val="00E46B88"/>
    <w:rsid w:val="00E6394B"/>
    <w:rsid w:val="00E657EC"/>
    <w:rsid w:val="00E80629"/>
    <w:rsid w:val="00E867FE"/>
    <w:rsid w:val="00EB5943"/>
    <w:rsid w:val="00EC744A"/>
    <w:rsid w:val="00EC7FAC"/>
    <w:rsid w:val="00ED6C4F"/>
    <w:rsid w:val="00EE08D0"/>
    <w:rsid w:val="00EE225A"/>
    <w:rsid w:val="00EE61E0"/>
    <w:rsid w:val="00EF3AEC"/>
    <w:rsid w:val="00EF4836"/>
    <w:rsid w:val="00F140D7"/>
    <w:rsid w:val="00F2486B"/>
    <w:rsid w:val="00F25F82"/>
    <w:rsid w:val="00F4503A"/>
    <w:rsid w:val="00F5331D"/>
    <w:rsid w:val="00F67BE1"/>
    <w:rsid w:val="00F707F0"/>
    <w:rsid w:val="00F719F4"/>
    <w:rsid w:val="00F74DBB"/>
    <w:rsid w:val="00F763F8"/>
    <w:rsid w:val="00F81030"/>
    <w:rsid w:val="00F91138"/>
    <w:rsid w:val="00F92062"/>
    <w:rsid w:val="00F94437"/>
    <w:rsid w:val="00F949D3"/>
    <w:rsid w:val="00FA7A1E"/>
    <w:rsid w:val="00FB4F44"/>
    <w:rsid w:val="00FB531D"/>
    <w:rsid w:val="00FC51E3"/>
    <w:rsid w:val="00FD2DDF"/>
    <w:rsid w:val="00FD2EA9"/>
    <w:rsid w:val="00FD3C72"/>
    <w:rsid w:val="00FE389A"/>
    <w:rsid w:val="00FE65EA"/>
    <w:rsid w:val="00FF0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641E1"/>
  <w15:chartTrackingRefBased/>
  <w15:docId w15:val="{5CD65EA4-B0BD-4C5D-999E-784D2FFD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5A5A"/>
    <w:pPr>
      <w:ind w:left="720"/>
      <w:contextualSpacing/>
    </w:pPr>
  </w:style>
  <w:style w:type="paragraph" w:styleId="Prskatjums">
    <w:name w:val="Revision"/>
    <w:hidden/>
    <w:uiPriority w:val="99"/>
    <w:semiHidden/>
    <w:rsid w:val="00DA7998"/>
    <w:pPr>
      <w:spacing w:after="0" w:line="240" w:lineRule="auto"/>
    </w:pPr>
  </w:style>
  <w:style w:type="paragraph" w:styleId="Galvene">
    <w:name w:val="header"/>
    <w:basedOn w:val="Parasts"/>
    <w:link w:val="GalveneRakstz"/>
    <w:uiPriority w:val="99"/>
    <w:unhideWhenUsed/>
    <w:rsid w:val="00263FC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63FC2"/>
  </w:style>
  <w:style w:type="paragraph" w:styleId="Kjene">
    <w:name w:val="footer"/>
    <w:basedOn w:val="Parasts"/>
    <w:link w:val="KjeneRakstz"/>
    <w:uiPriority w:val="99"/>
    <w:unhideWhenUsed/>
    <w:rsid w:val="00263FC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63FC2"/>
  </w:style>
  <w:style w:type="character" w:styleId="Hipersaite">
    <w:name w:val="Hyperlink"/>
    <w:basedOn w:val="Noklusjumarindkopasfonts"/>
    <w:uiPriority w:val="99"/>
    <w:unhideWhenUsed/>
    <w:rsid w:val="002B409D"/>
    <w:rPr>
      <w:color w:val="0563C1" w:themeColor="hyperlink"/>
      <w:u w:val="single"/>
    </w:rPr>
  </w:style>
  <w:style w:type="character" w:styleId="Neatrisintapieminana">
    <w:name w:val="Unresolved Mention"/>
    <w:basedOn w:val="Noklusjumarindkopasfonts"/>
    <w:uiPriority w:val="99"/>
    <w:semiHidden/>
    <w:unhideWhenUsed/>
    <w:rsid w:val="002B409D"/>
    <w:rPr>
      <w:color w:val="605E5C"/>
      <w:shd w:val="clear" w:color="auto" w:fill="E1DFDD"/>
    </w:rPr>
  </w:style>
  <w:style w:type="character" w:customStyle="1" w:styleId="Bodytext2">
    <w:name w:val="Body text (2)_"/>
    <w:basedOn w:val="Noklusjumarindkopasfonts"/>
    <w:link w:val="Bodytext20"/>
    <w:rsid w:val="00D85F4D"/>
    <w:rPr>
      <w:rFonts w:ascii="Times New Roman" w:eastAsia="Times New Roman" w:hAnsi="Times New Roman" w:cs="Times New Roman"/>
      <w:shd w:val="clear" w:color="auto" w:fill="FFFFFF"/>
    </w:rPr>
  </w:style>
  <w:style w:type="paragraph" w:customStyle="1" w:styleId="Bodytext20">
    <w:name w:val="Body text (2)"/>
    <w:basedOn w:val="Parasts"/>
    <w:link w:val="Bodytext2"/>
    <w:rsid w:val="00D85F4D"/>
    <w:pPr>
      <w:widowControl w:val="0"/>
      <w:shd w:val="clear" w:color="auto" w:fill="FFFFFF"/>
      <w:spacing w:before="60" w:after="600" w:line="0" w:lineRule="atLeast"/>
      <w:jc w:val="center"/>
    </w:pPr>
    <w:rPr>
      <w:rFonts w:ascii="Times New Roman" w:eastAsia="Times New Roman" w:hAnsi="Times New Roman" w:cs="Times New Roman"/>
    </w:rPr>
  </w:style>
  <w:style w:type="paragraph" w:customStyle="1" w:styleId="tv213">
    <w:name w:val="tv213"/>
    <w:basedOn w:val="Parasts"/>
    <w:rsid w:val="000739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
    <w:name w:val="Heading #2_"/>
    <w:basedOn w:val="Noklusjumarindkopasfonts"/>
    <w:link w:val="Heading20"/>
    <w:rsid w:val="00036F5C"/>
    <w:rPr>
      <w:rFonts w:ascii="Times New Roman" w:eastAsia="Times New Roman" w:hAnsi="Times New Roman" w:cs="Times New Roman"/>
      <w:b/>
      <w:bCs/>
      <w:shd w:val="clear" w:color="auto" w:fill="FFFFFF"/>
    </w:rPr>
  </w:style>
  <w:style w:type="paragraph" w:customStyle="1" w:styleId="Heading20">
    <w:name w:val="Heading #2"/>
    <w:basedOn w:val="Parasts"/>
    <w:link w:val="Heading2"/>
    <w:rsid w:val="00036F5C"/>
    <w:pPr>
      <w:widowControl w:val="0"/>
      <w:shd w:val="clear" w:color="auto" w:fill="FFFFFF"/>
      <w:spacing w:after="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350">
      <w:bodyDiv w:val="1"/>
      <w:marLeft w:val="0"/>
      <w:marRight w:val="0"/>
      <w:marTop w:val="0"/>
      <w:marBottom w:val="0"/>
      <w:divBdr>
        <w:top w:val="none" w:sz="0" w:space="0" w:color="auto"/>
        <w:left w:val="none" w:sz="0" w:space="0" w:color="auto"/>
        <w:bottom w:val="none" w:sz="0" w:space="0" w:color="auto"/>
        <w:right w:val="none" w:sz="0" w:space="0" w:color="auto"/>
      </w:divBdr>
    </w:div>
    <w:div w:id="7627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34C44-B060-4EF7-8A6B-C4C279BF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16050</Words>
  <Characters>9150</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Everita Kāpa</cp:lastModifiedBy>
  <cp:revision>2</cp:revision>
  <dcterms:created xsi:type="dcterms:W3CDTF">2025-04-10T13:55:00Z</dcterms:created>
  <dcterms:modified xsi:type="dcterms:W3CDTF">2025-04-10T13:55:00Z</dcterms:modified>
</cp:coreProperties>
</file>